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Noto Sans CJK SC" w:hAnsi="Noto Sans CJK SC" w:eastAsia="Noto Sans CJK SC"/>
          <w:b/>
          <w:sz w:val="36"/>
        </w:rPr>
        <w:t>基于4小时K线的BTC单均线趋势策略研究</w:t>
      </w:r>
    </w:p>
    <w:p>
      <w:pPr>
        <w:jc w:val="center"/>
      </w:pPr>
      <w:r>
        <w:rPr>
          <w:i/>
          <w:sz w:val="24"/>
        </w:rPr>
        <w:t>参数鲁棒性、横盘磨损、双均线对照与自动化实盘部署</w:t>
      </w:r>
    </w:p>
    <w:p/>
    <w:p>
      <w:pPr>
        <w:pStyle w:val="Heading1"/>
      </w:pPr>
      <w:r>
        <w:t>摘要</w:t>
      </w:r>
    </w:p>
    <w:p>
      <w:r>
        <w:t>本文基于项目中构建的BTC/USDT 4小时K线数据集，对单均线趋势跟踪策略进行了系统回测、参数比较和实盘化评估。研究围绕三个问题展开：第一，长周期单均线策略能否在BTC这种强趋势资产上获得较好的收益—回撤比；第二，双均线交叉、移动止盈止损、突破过滤等复杂化改造是否优于简单策略；第三，策略从回测到自动化执行时，应如何处理交易所API、K线确认、状态持久化和交易记录等工程问题。项目回测结果显示，BTC 4H MA240配合最小持仓24根K线（约4天）在2018—2025样本区间内具有较好的长期收益和回撤控制能力；而MA10/MA120、MA20/MA120、MA20/MA240等双均线组合整体并未显示出稳定优势。进一步实验表明，过滤进场信号会明显错过BTC主升浪，而适度放宽出场条件（例如跌破MA240超过1%才卖出）在全周期样本中可减少横盘假跌破带来的交易磨损。本文最后讨论了OKX实盘自动化部署、Google Sheets数据采集和日志审计方案，并指出本研究仍受限于历史样本、交易成本假设、滑点缺失和未来市场结构变化。</w:t>
      </w:r>
    </w:p>
    <w:p>
      <w:r>
        <w:t>关键词：BTC；趋势跟踪；移动平均线；4小时K线；回测；最大回撤；OKX API；自动化交易</w:t>
      </w:r>
    </w:p>
    <w:p>
      <w:pPr>
        <w:pStyle w:val="Heading1"/>
      </w:pPr>
      <w:r>
        <w:t>1. 引言</w:t>
      </w:r>
    </w:p>
    <w:p>
      <w:r>
        <w:t>加密资产市场具有高波动、高杠杆、高散户参与度和全天候交易等特征。与传统股票市场不同，BTC等核心加密资产长期呈现出强烈的牛熊周期：牛市中价格可能快速上涨数倍，熊市中也可能出现70%以上的深度回撤。因此，长期持有策略常常能获得极高的账面收益，但投资者需要承担极大的净值波动和心理压力。趋势跟踪策略试图在牛市阶段参与上涨，在熊市阶段降低暴露，以换取更可承受的回撤。</w:t>
      </w:r>
    </w:p>
    <w:p>
      <w:r>
        <w:t>本项目最初从BTC 4H MA120策略开始，随后扩展到MA180、MA210、MA240、双均线交叉、移动止盈止损、突破确认、横盘过滤等多个方向。在大量回测与代码修正后，研究逐渐聚焦到一个核心问题：对BTC这类强趋势资产而言，是否存在一种足够简单、可解释、易实盘执行、且风险—收益特征较优的趋势策略？</w:t>
      </w:r>
    </w:p>
    <w:p>
      <w:r>
        <w:t>本文的研究结论并不将策略表述为收益保证或投资建议。所有结果仅为历史样本内的机械回测输出，不能保证未来仍然有效。但是，该项目展示了一个完整的策略研究流程：从数据采集、信号定义、回测错误修复，到自动化交易系统部署与策略日志管理。</w:t>
      </w:r>
    </w:p>
    <w:p>
      <w:pPr>
        <w:pStyle w:val="Heading1"/>
      </w:pPr>
      <w:r>
        <w:t>2. 文献与公开研究背景</w:t>
      </w:r>
    </w:p>
    <w:p>
      <w:r>
        <w:t>移动平均线和趋势跟踪是金融市场中最基础、最常见的技术交易规则之一。在加密资产市场中，相关研究发现技术规则的表现具有明显的资产异质性和时间不稳定性。Grobys等人的研究使用2016—2018年间11种高交易量加密资产的日度价格数据，检验了简单移动平均策略，结果表明部分非BTC资产在20日移动平均规则下产生了正向超额收益，但这种结论并非对所有币种一致[1]。</w:t>
      </w:r>
    </w:p>
    <w:p>
      <w:r>
        <w:t>近期关于加密资产技术交易规则是否优于买入持有的研究也强调了样本区间、交易成本和市场状态的重要性。Jin等人研究传统技术规则在加密市场中的应用，指出技术交易规则的表现并非稳定地优于简单持有，且可能随市场效率变化而减弱[2]。这与本文项目经验相吻合：在BTC强趋势阶段，复杂策略经常因滞后和假信号而跑输持币；但在深度熊市或牛熊切换阶段，趋势规则又可能通过降低风险暴露改善回撤。</w:t>
      </w:r>
    </w:p>
    <w:p>
      <w:r>
        <w:t>趋势强度过滤也是公开研究与技术分析中常见的方向。平均趋向指数（ADX）常被用于区分趋势市场与震荡市场；一般而言，ADX较低时，市场更可能处于横盘状态，趋势跟踪信号更容易产生反复磨损[3]。本文没有将ADX作为最终策略的一部分，但在讨论横盘磨损时参考了这一思想：趋势策略的核心难题不是如何在趋势市场赚钱，而是如何避免在非趋势市场中持续损耗。</w:t>
      </w:r>
    </w:p>
    <w:p>
      <w:r>
        <w:t>数据方面，本文依赖OKX公开K线接口和用户上传的历史CSV文件。OKX API文档规定历史K线接口返回包括起始时间、开盘、最高、最低、收盘、成交量和confirm状态等字段，并对分页与返回数量设定限制[4]。在项目实现中，confirm=1被用于确保只使用已完结K线，从而避免未完成K线引入未来函数或实时噪声。</w:t>
      </w:r>
    </w:p>
    <w:p>
      <w:pPr>
        <w:pStyle w:val="Heading1"/>
      </w:pPr>
      <w:r>
        <w:t>3. 数据来源与预处理</w:t>
      </w:r>
    </w:p>
    <w:p>
      <w:r>
        <w:t>本文主要研究对象为BTC/USDT 4小时K线，数据区间覆盖2018年至2025年。数据最初通过交易所历史K线接口和Google Sheets/CSV方式整理，并在后续回测中以用户上传的本地CSV文件作为数据源。使用4小时K线是一个折中选择：它较日线更及时，能捕捉趋势变化；又较1小时或更低周期更少噪声，适合中低频自动化交易。</w:t>
      </w:r>
    </w:p>
    <w:p>
      <w:r>
        <w:t>数据预处理包括以下步骤：</w:t>
      </w:r>
    </w:p>
    <w:p>
      <w:pPr>
        <w:pStyle w:val="ListBullet"/>
      </w:pPr>
      <w:r>
        <w:t>按Open time升序排序，确保K线序列连续；</w:t>
      </w:r>
    </w:p>
    <w:p>
      <w:pPr>
        <w:pStyle w:val="ListBullet"/>
      </w:pPr>
      <w:r>
        <w:t>过滤confirm=0的未完结K线，仅使用confirm=1的数据；</w:t>
      </w:r>
    </w:p>
    <w:p>
      <w:pPr>
        <w:pStyle w:val="ListBullet"/>
      </w:pPr>
      <w:r>
        <w:t>统一Close字段为数值格式；</w:t>
      </w:r>
    </w:p>
    <w:p>
      <w:pPr>
        <w:pStyle w:val="ListBullet"/>
      </w:pPr>
      <w:r>
        <w:t>用Google Sheets公式或Python滚动窗口计算MA120、MA180、MA210、MA240等均线；</w:t>
      </w:r>
    </w:p>
    <w:p>
      <w:pPr>
        <w:pStyle w:val="ListBullet"/>
      </w:pPr>
      <w:r>
        <w:t>在回测中统一使用收盘价作为信号判断与成交价。</w:t>
      </w:r>
    </w:p>
    <w:p>
      <w:r>
        <w:t>项目过程中曾发现多个数据与公式问题，例如OKX分页参数方向理解错误、Google Sheets公式拖动导致均线错行、最大回撤算法使用了错误序列等。这些问题均在最终回测前进行了修正。尤其是最大回撤计算，最终统一使用净值曲线的峰值到后续低点的最大跌幅，而不是使用累计收益率序列或单纯首尾价格。</w:t>
      </w:r>
    </w:p>
    <w:p>
      <w:pPr>
        <w:pStyle w:val="Heading1"/>
      </w:pPr>
      <w:r>
        <w:t>4. 策略定义与回测方法</w:t>
      </w:r>
    </w:p>
    <w:p>
      <w:pPr>
        <w:pStyle w:val="Heading2"/>
      </w:pPr>
      <w:r>
        <w:t>4.1 基准策略：简单持币</w:t>
      </w:r>
    </w:p>
    <w:p>
      <w:r>
        <w:t>简单持币策略定义为在每个周期起点买入BTC，并持有到该周期终点。该策略不进行任何交易择时，是衡量趋势策略是否具有风险调整价值的核心基准。</w:t>
      </w:r>
    </w:p>
    <w:p>
      <w:pPr>
        <w:pStyle w:val="Heading2"/>
      </w:pPr>
      <w:r>
        <w:t>4.2 单均线趋势策略</w:t>
      </w:r>
    </w:p>
    <w:p>
      <w:r>
        <w:t>单均线趋势策略的基本规则如下：当BTC 4H收盘价从均线下方上穿均线时买入；当收盘价跌破均线时卖出。为避免在均线附近频繁震荡时反复交易，项目中加入了最小持仓约束，即买入后至少持有24根4H K线，约等于4天。</w:t>
      </w:r>
    </w:p>
    <w:p>
      <w:r>
        <w:t>基准策略伪代码如下：</w:t>
      </w:r>
    </w:p>
    <w:p>
      <w:r>
        <w:rPr>
          <w:rFonts w:ascii="Consolas" w:hAnsi="Consolas" w:eastAsia="Consolas"/>
          <w:sz w:val="18"/>
        </w:rPr>
        <w:t>if not position and prev_close &lt;= prev_MA and close &gt; MA:</w:t>
        <w:br/>
        <w:t xml:space="preserve">    buy at close</w:t>
        <w:br/>
        <w:t>if position and hold_bars &gt;= 24 and close &lt; MA:</w:t>
        <w:br/>
        <w:t xml:space="preserve">    sell at close</w:t>
      </w:r>
    </w:p>
    <w:p>
      <w:pPr>
        <w:pStyle w:val="Heading2"/>
      </w:pPr>
      <w:r>
        <w:t>4.3 双均线策略</w:t>
      </w:r>
    </w:p>
    <w:p>
      <w:r>
        <w:t>双均线策略使用短周期均线与长周期均线的交叉作为信号。例如MA20上穿MA120买入，MA20下穿MA120卖出。理论上，双均线可以过滤价格对单一均线的短暂假突破；但在BTC回测中，双均线往往因信号滞后和错失主升段而表现不如简单长周期单均线。</w:t>
      </w:r>
    </w:p>
    <w:p>
      <w:pPr>
        <w:pStyle w:val="Heading2"/>
      </w:pPr>
      <w:r>
        <w:t>4.4 横盘磨损与出场优化</w:t>
      </w:r>
    </w:p>
    <w:p>
      <w:r>
        <w:t>趋势策略最常见的失效场景是价格围绕均线横盘震荡。此时，上穿买入、下穿卖出会形成来回打脸的交易序列，即所谓whipsaw。项目尝试了斜率过滤、价格距离过滤等进场过滤方案，但这类方法在BTC上容易错过主升浪。最终更有效的方向是优化出场，而非严格过滤进场。</w:t>
      </w:r>
    </w:p>
    <w:p>
      <w:pPr>
        <w:pStyle w:val="Heading2"/>
      </w:pPr>
      <w:r>
        <w:t>4.5 回测指标</w:t>
      </w:r>
    </w:p>
    <w:p>
      <w:pPr>
        <w:pStyle w:val="ListBullet"/>
      </w:pPr>
      <w:r>
        <w:t>总收益率：期末净值/期初净值 - 1；</w:t>
      </w:r>
    </w:p>
    <w:p>
      <w:pPr>
        <w:pStyle w:val="ListBullet"/>
      </w:pPr>
      <w:r>
        <w:t>年化收益率：按周期长度对总收益进行复合年化；</w:t>
      </w:r>
    </w:p>
    <w:p>
      <w:pPr>
        <w:pStyle w:val="ListBullet"/>
      </w:pPr>
      <w:r>
        <w:t>最大回撤：净值曲线历史峰值至随后低点的最大跌幅；</w:t>
      </w:r>
    </w:p>
    <w:p>
      <w:pPr>
        <w:pStyle w:val="ListBullet"/>
      </w:pPr>
      <w:r>
        <w:t>胜率：盈利交易次数/总交易次数；</w:t>
      </w:r>
    </w:p>
    <w:p>
      <w:pPr>
        <w:pStyle w:val="ListBullet"/>
      </w:pPr>
      <w:r>
        <w:t>交易次数：完整开仓—平仓交易对数量；</w:t>
      </w:r>
    </w:p>
    <w:p>
      <w:pPr>
        <w:pStyle w:val="ListBullet"/>
      </w:pPr>
      <w:r>
        <w:t>交易成本：买入0.1%、卖出0.1%，双边共0.2%。</w:t>
      </w:r>
    </w:p>
    <w:p>
      <w:pPr>
        <w:pStyle w:val="Heading1"/>
      </w:pPr>
      <w:r>
        <w:t>5. 实证结果一：BTC单均线趋势策略</w:t>
      </w:r>
    </w:p>
    <w:p>
      <w:r>
        <w:t>在不同单均线周期中，MA240配合最小持仓24根K线表现出较高的长期收益与回撤控制能力。表1列出了项目中确认的一组核心结果。需要注意的是，表中周期均以样本最新K线为终点向前倒推，而非自然年度切分。</w:t>
      </w:r>
    </w:p>
    <w:p>
      <w:r>
        <w:rPr>
          <w:b/>
        </w:rPr>
        <w:t>表1  BTC 4H MA240 + 最小持仓24根K线策略回测结果</w:t>
      </w:r>
    </w:p>
    <w:tbl>
      <w:tblPr>
        <w:tblStyle w:val="TableGrid"/>
        <w:tblW w:type="auto" w:w="0"/>
        <w:jc w:val="center"/>
        <w:tblLook w:firstColumn="1" w:firstRow="1" w:lastColumn="0" w:lastRow="0" w:noHBand="0" w:noVBand="1" w:val="04A0"/>
      </w:tblPr>
      <w:tblGrid>
        <w:gridCol w:w="1260"/>
        <w:gridCol w:w="1260"/>
        <w:gridCol w:w="1260"/>
        <w:gridCol w:w="1260"/>
        <w:gridCol w:w="1260"/>
        <w:gridCol w:w="1260"/>
        <w:gridCol w:w="1260"/>
        <w:gridCol w:w="1260"/>
      </w:tblGrid>
      <w:tr>
        <w:tc>
          <w:tcPr>
            <w:tcW w:type="dxa" w:w="1260"/>
            <w:vAlign w:val="center"/>
            <w:shd w:fill="D9EAF7"/>
          </w:tcPr>
          <w:p>
            <w:pPr>
              <w:jc w:val="center"/>
            </w:pPr>
            <w:r/>
            <w:r>
              <w:rPr>
                <w:b/>
                <w:sz w:val="16"/>
              </w:rPr>
              <w:t>年限</w:t>
            </w:r>
          </w:p>
        </w:tc>
        <w:tc>
          <w:tcPr>
            <w:tcW w:type="dxa" w:w="1260"/>
            <w:vAlign w:val="center"/>
            <w:shd w:fill="D9EAF7"/>
          </w:tcPr>
          <w:p>
            <w:pPr>
              <w:jc w:val="center"/>
            </w:pPr>
            <w:r/>
            <w:r>
              <w:rPr>
                <w:b/>
                <w:sz w:val="16"/>
              </w:rPr>
              <w:t>交易次数</w:t>
            </w:r>
          </w:p>
        </w:tc>
        <w:tc>
          <w:tcPr>
            <w:tcW w:type="dxa" w:w="1260"/>
            <w:vAlign w:val="center"/>
            <w:shd w:fill="D9EAF7"/>
          </w:tcPr>
          <w:p>
            <w:pPr>
              <w:jc w:val="center"/>
            </w:pPr>
            <w:r/>
            <w:r>
              <w:rPr>
                <w:b/>
                <w:sz w:val="16"/>
              </w:rPr>
              <w:t>策略收益率</w:t>
            </w:r>
          </w:p>
        </w:tc>
        <w:tc>
          <w:tcPr>
            <w:tcW w:type="dxa" w:w="1260"/>
            <w:vAlign w:val="center"/>
            <w:shd w:fill="D9EAF7"/>
          </w:tcPr>
          <w:p>
            <w:pPr>
              <w:jc w:val="center"/>
            </w:pPr>
            <w:r/>
            <w:r>
              <w:rPr>
                <w:b/>
                <w:sz w:val="16"/>
              </w:rPr>
              <w:t>最大回撤</w:t>
            </w:r>
          </w:p>
        </w:tc>
        <w:tc>
          <w:tcPr>
            <w:tcW w:type="dxa" w:w="1260"/>
            <w:vAlign w:val="center"/>
            <w:shd w:fill="D9EAF7"/>
          </w:tcPr>
          <w:p>
            <w:pPr>
              <w:jc w:val="center"/>
            </w:pPr>
            <w:r/>
            <w:r>
              <w:rPr>
                <w:b/>
                <w:sz w:val="16"/>
              </w:rPr>
              <w:t>胜率</w:t>
            </w:r>
          </w:p>
        </w:tc>
        <w:tc>
          <w:tcPr>
            <w:tcW w:type="dxa" w:w="1260"/>
            <w:vAlign w:val="center"/>
            <w:shd w:fill="D9EAF7"/>
          </w:tcPr>
          <w:p>
            <w:pPr>
              <w:jc w:val="center"/>
            </w:pPr>
            <w:r/>
            <w:r>
              <w:rPr>
                <w:b/>
                <w:sz w:val="16"/>
              </w:rPr>
              <w:t>持币收益率</w:t>
            </w:r>
          </w:p>
        </w:tc>
        <w:tc>
          <w:tcPr>
            <w:tcW w:type="dxa" w:w="1260"/>
            <w:vAlign w:val="center"/>
            <w:shd w:fill="D9EAF7"/>
          </w:tcPr>
          <w:p>
            <w:pPr>
              <w:jc w:val="center"/>
            </w:pPr>
            <w:r/>
            <w:r>
              <w:rPr>
                <w:b/>
                <w:sz w:val="16"/>
              </w:rPr>
              <w:t>持币回撤</w:t>
            </w:r>
          </w:p>
        </w:tc>
        <w:tc>
          <w:tcPr>
            <w:tcW w:type="dxa" w:w="1260"/>
            <w:vAlign w:val="center"/>
            <w:shd w:fill="D9EAF7"/>
          </w:tcPr>
          <w:p>
            <w:pPr>
              <w:jc w:val="center"/>
            </w:pPr>
            <w:r/>
            <w:r>
              <w:rPr>
                <w:b/>
                <w:sz w:val="16"/>
              </w:rPr>
              <w:t>年化收益率</w:t>
            </w:r>
          </w:p>
        </w:tc>
      </w:tr>
      <w:tr>
        <w:tc>
          <w:tcPr>
            <w:tcW w:type="dxa" w:w="1260"/>
            <w:vAlign w:val="center"/>
          </w:tcPr>
          <w:p>
            <w:pPr>
              <w:jc w:val="center"/>
            </w:pPr>
            <w:r/>
            <w:r>
              <w:rPr>
                <w:b w:val="0"/>
                <w:sz w:val="16"/>
              </w:rPr>
              <w:t>1年</w:t>
            </w:r>
          </w:p>
        </w:tc>
        <w:tc>
          <w:tcPr>
            <w:tcW w:type="dxa" w:w="1260"/>
            <w:vAlign w:val="center"/>
          </w:tcPr>
          <w:p>
            <w:pPr>
              <w:jc w:val="center"/>
            </w:pPr>
            <w:r/>
            <w:r>
              <w:rPr>
                <w:b w:val="0"/>
                <w:sz w:val="16"/>
              </w:rPr>
              <w:t>12</w:t>
            </w:r>
          </w:p>
        </w:tc>
        <w:tc>
          <w:tcPr>
            <w:tcW w:type="dxa" w:w="1260"/>
            <w:vAlign w:val="center"/>
          </w:tcPr>
          <w:p>
            <w:pPr>
              <w:jc w:val="center"/>
            </w:pPr>
            <w:r/>
            <w:r>
              <w:rPr>
                <w:b w:val="0"/>
                <w:sz w:val="16"/>
              </w:rPr>
              <w:t>58.70%</w:t>
            </w:r>
          </w:p>
        </w:tc>
        <w:tc>
          <w:tcPr>
            <w:tcW w:type="dxa" w:w="1260"/>
            <w:vAlign w:val="center"/>
          </w:tcPr>
          <w:p>
            <w:pPr>
              <w:jc w:val="center"/>
            </w:pPr>
            <w:r/>
            <w:r>
              <w:rPr>
                <w:b w:val="0"/>
                <w:sz w:val="16"/>
              </w:rPr>
              <w:t>11.03%</w:t>
            </w:r>
          </w:p>
        </w:tc>
        <w:tc>
          <w:tcPr>
            <w:tcW w:type="dxa" w:w="1260"/>
            <w:vAlign w:val="center"/>
          </w:tcPr>
          <w:p>
            <w:pPr>
              <w:jc w:val="center"/>
            </w:pPr>
            <w:r/>
            <w:r>
              <w:rPr>
                <w:b w:val="0"/>
                <w:sz w:val="16"/>
              </w:rPr>
              <w:t>25.00%</w:t>
            </w:r>
          </w:p>
        </w:tc>
        <w:tc>
          <w:tcPr>
            <w:tcW w:type="dxa" w:w="1260"/>
            <w:vAlign w:val="center"/>
          </w:tcPr>
          <w:p>
            <w:pPr>
              <w:jc w:val="center"/>
            </w:pPr>
            <w:r/>
            <w:r>
              <w:rPr>
                <w:b w:val="0"/>
                <w:sz w:val="16"/>
              </w:rPr>
              <w:t>57.35%</w:t>
            </w:r>
          </w:p>
        </w:tc>
        <w:tc>
          <w:tcPr>
            <w:tcW w:type="dxa" w:w="1260"/>
            <w:vAlign w:val="center"/>
          </w:tcPr>
          <w:p>
            <w:pPr>
              <w:jc w:val="center"/>
            </w:pPr>
            <w:r/>
            <w:r>
              <w:rPr>
                <w:b w:val="0"/>
                <w:sz w:val="16"/>
              </w:rPr>
              <w:t>30.59%</w:t>
            </w:r>
          </w:p>
        </w:tc>
        <w:tc>
          <w:tcPr>
            <w:tcW w:type="dxa" w:w="1260"/>
            <w:vAlign w:val="center"/>
          </w:tcPr>
          <w:p>
            <w:pPr>
              <w:jc w:val="center"/>
            </w:pPr>
            <w:r/>
            <w:r>
              <w:rPr>
                <w:b w:val="0"/>
                <w:sz w:val="16"/>
              </w:rPr>
              <w:t>58.70%</w:t>
            </w:r>
          </w:p>
        </w:tc>
      </w:tr>
      <w:tr>
        <w:tc>
          <w:tcPr>
            <w:tcW w:type="dxa" w:w="1260"/>
            <w:vAlign w:val="center"/>
          </w:tcPr>
          <w:p>
            <w:pPr>
              <w:jc w:val="center"/>
            </w:pPr>
            <w:r/>
            <w:r>
              <w:rPr>
                <w:b w:val="0"/>
                <w:sz w:val="16"/>
              </w:rPr>
              <w:t>2年</w:t>
            </w:r>
          </w:p>
        </w:tc>
        <w:tc>
          <w:tcPr>
            <w:tcW w:type="dxa" w:w="1260"/>
            <w:vAlign w:val="center"/>
          </w:tcPr>
          <w:p>
            <w:pPr>
              <w:jc w:val="center"/>
            </w:pPr>
            <w:r/>
            <w:r>
              <w:rPr>
                <w:b w:val="0"/>
                <w:sz w:val="16"/>
              </w:rPr>
              <w:t>21</w:t>
            </w:r>
          </w:p>
        </w:tc>
        <w:tc>
          <w:tcPr>
            <w:tcW w:type="dxa" w:w="1260"/>
            <w:vAlign w:val="center"/>
          </w:tcPr>
          <w:p>
            <w:pPr>
              <w:jc w:val="center"/>
            </w:pPr>
            <w:r/>
            <w:r>
              <w:rPr>
                <w:b w:val="0"/>
                <w:sz w:val="16"/>
              </w:rPr>
              <w:t>296.33%</w:t>
            </w:r>
          </w:p>
        </w:tc>
        <w:tc>
          <w:tcPr>
            <w:tcW w:type="dxa" w:w="1260"/>
            <w:vAlign w:val="center"/>
          </w:tcPr>
          <w:p>
            <w:pPr>
              <w:jc w:val="center"/>
            </w:pPr>
            <w:r/>
            <w:r>
              <w:rPr>
                <w:b w:val="0"/>
                <w:sz w:val="16"/>
              </w:rPr>
              <w:t>11.03%</w:t>
            </w:r>
          </w:p>
        </w:tc>
        <w:tc>
          <w:tcPr>
            <w:tcW w:type="dxa" w:w="1260"/>
            <w:vAlign w:val="center"/>
          </w:tcPr>
          <w:p>
            <w:pPr>
              <w:jc w:val="center"/>
            </w:pPr>
            <w:r/>
            <w:r>
              <w:rPr>
                <w:b w:val="0"/>
                <w:sz w:val="16"/>
              </w:rPr>
              <w:t>42.86%</w:t>
            </w:r>
          </w:p>
        </w:tc>
        <w:tc>
          <w:tcPr>
            <w:tcW w:type="dxa" w:w="1260"/>
            <w:vAlign w:val="center"/>
          </w:tcPr>
          <w:p>
            <w:pPr>
              <w:jc w:val="center"/>
            </w:pPr>
            <w:r/>
            <w:r>
              <w:rPr>
                <w:b w:val="0"/>
                <w:sz w:val="16"/>
              </w:rPr>
              <w:t>305.09%</w:t>
            </w:r>
          </w:p>
        </w:tc>
        <w:tc>
          <w:tcPr>
            <w:tcW w:type="dxa" w:w="1260"/>
            <w:vAlign w:val="center"/>
          </w:tcPr>
          <w:p>
            <w:pPr>
              <w:jc w:val="center"/>
            </w:pPr>
            <w:r/>
            <w:r>
              <w:rPr>
                <w:b w:val="0"/>
                <w:sz w:val="16"/>
              </w:rPr>
              <w:t>30.59%</w:t>
            </w:r>
          </w:p>
        </w:tc>
        <w:tc>
          <w:tcPr>
            <w:tcW w:type="dxa" w:w="1260"/>
            <w:vAlign w:val="center"/>
          </w:tcPr>
          <w:p>
            <w:pPr>
              <w:jc w:val="center"/>
            </w:pPr>
            <w:r/>
            <w:r>
              <w:rPr>
                <w:b w:val="0"/>
                <w:sz w:val="16"/>
              </w:rPr>
              <w:t>99.08%</w:t>
            </w:r>
          </w:p>
        </w:tc>
      </w:tr>
      <w:tr>
        <w:tc>
          <w:tcPr>
            <w:tcW w:type="dxa" w:w="1260"/>
            <w:vAlign w:val="center"/>
          </w:tcPr>
          <w:p>
            <w:pPr>
              <w:jc w:val="center"/>
            </w:pPr>
            <w:r/>
            <w:r>
              <w:rPr>
                <w:b w:val="0"/>
                <w:sz w:val="16"/>
              </w:rPr>
              <w:t>3年</w:t>
            </w:r>
          </w:p>
        </w:tc>
        <w:tc>
          <w:tcPr>
            <w:tcW w:type="dxa" w:w="1260"/>
            <w:vAlign w:val="center"/>
          </w:tcPr>
          <w:p>
            <w:pPr>
              <w:jc w:val="center"/>
            </w:pPr>
            <w:r/>
            <w:r>
              <w:rPr>
                <w:b w:val="0"/>
                <w:sz w:val="16"/>
              </w:rPr>
              <w:t>36</w:t>
            </w:r>
          </w:p>
        </w:tc>
        <w:tc>
          <w:tcPr>
            <w:tcW w:type="dxa" w:w="1260"/>
            <w:vAlign w:val="center"/>
          </w:tcPr>
          <w:p>
            <w:pPr>
              <w:jc w:val="center"/>
            </w:pPr>
            <w:r/>
            <w:r>
              <w:rPr>
                <w:b w:val="0"/>
                <w:sz w:val="16"/>
              </w:rPr>
              <w:t>348.65%</w:t>
            </w:r>
          </w:p>
        </w:tc>
        <w:tc>
          <w:tcPr>
            <w:tcW w:type="dxa" w:w="1260"/>
            <w:vAlign w:val="center"/>
          </w:tcPr>
          <w:p>
            <w:pPr>
              <w:jc w:val="center"/>
            </w:pPr>
            <w:r/>
            <w:r>
              <w:rPr>
                <w:b w:val="0"/>
                <w:sz w:val="16"/>
              </w:rPr>
              <w:t>18.08%</w:t>
            </w:r>
          </w:p>
        </w:tc>
        <w:tc>
          <w:tcPr>
            <w:tcW w:type="dxa" w:w="1260"/>
            <w:vAlign w:val="center"/>
          </w:tcPr>
          <w:p>
            <w:pPr>
              <w:jc w:val="center"/>
            </w:pPr>
            <w:r/>
            <w:r>
              <w:rPr>
                <w:b w:val="0"/>
                <w:sz w:val="16"/>
              </w:rPr>
              <w:t>38.89%</w:t>
            </w:r>
          </w:p>
        </w:tc>
        <w:tc>
          <w:tcPr>
            <w:tcW w:type="dxa" w:w="1260"/>
            <w:vAlign w:val="center"/>
          </w:tcPr>
          <w:p>
            <w:pPr>
              <w:jc w:val="center"/>
            </w:pPr>
            <w:r/>
            <w:r>
              <w:rPr>
                <w:b w:val="0"/>
                <w:sz w:val="16"/>
              </w:rPr>
              <w:t>273.43%</w:t>
            </w:r>
          </w:p>
        </w:tc>
        <w:tc>
          <w:tcPr>
            <w:tcW w:type="dxa" w:w="1260"/>
            <w:vAlign w:val="center"/>
          </w:tcPr>
          <w:p>
            <w:pPr>
              <w:jc w:val="center"/>
            </w:pPr>
            <w:r/>
            <w:r>
              <w:rPr>
                <w:b w:val="0"/>
                <w:sz w:val="16"/>
              </w:rPr>
              <w:t>50.96%</w:t>
            </w:r>
          </w:p>
        </w:tc>
        <w:tc>
          <w:tcPr>
            <w:tcW w:type="dxa" w:w="1260"/>
            <w:vAlign w:val="center"/>
          </w:tcPr>
          <w:p>
            <w:pPr>
              <w:jc w:val="center"/>
            </w:pPr>
            <w:r/>
            <w:r>
              <w:rPr>
                <w:b w:val="0"/>
                <w:sz w:val="16"/>
              </w:rPr>
              <w:t>64.93%</w:t>
            </w:r>
          </w:p>
        </w:tc>
      </w:tr>
      <w:tr>
        <w:tc>
          <w:tcPr>
            <w:tcW w:type="dxa" w:w="1260"/>
            <w:vAlign w:val="center"/>
          </w:tcPr>
          <w:p>
            <w:pPr>
              <w:jc w:val="center"/>
            </w:pPr>
            <w:r/>
            <w:r>
              <w:rPr>
                <w:b w:val="0"/>
                <w:sz w:val="16"/>
              </w:rPr>
              <w:t>4年</w:t>
            </w:r>
          </w:p>
        </w:tc>
        <w:tc>
          <w:tcPr>
            <w:tcW w:type="dxa" w:w="1260"/>
            <w:vAlign w:val="center"/>
          </w:tcPr>
          <w:p>
            <w:pPr>
              <w:jc w:val="center"/>
            </w:pPr>
            <w:r/>
            <w:r>
              <w:rPr>
                <w:b w:val="0"/>
                <w:sz w:val="16"/>
              </w:rPr>
              <w:t>48</w:t>
            </w:r>
          </w:p>
        </w:tc>
        <w:tc>
          <w:tcPr>
            <w:tcW w:type="dxa" w:w="1260"/>
            <w:vAlign w:val="center"/>
          </w:tcPr>
          <w:p>
            <w:pPr>
              <w:jc w:val="center"/>
            </w:pPr>
            <w:r/>
            <w:r>
              <w:rPr>
                <w:b w:val="0"/>
                <w:sz w:val="16"/>
              </w:rPr>
              <w:t>426.01%</w:t>
            </w:r>
          </w:p>
        </w:tc>
        <w:tc>
          <w:tcPr>
            <w:tcW w:type="dxa" w:w="1260"/>
            <w:vAlign w:val="center"/>
          </w:tcPr>
          <w:p>
            <w:pPr>
              <w:jc w:val="center"/>
            </w:pPr>
            <w:r/>
            <w:r>
              <w:rPr>
                <w:b w:val="0"/>
                <w:sz w:val="16"/>
              </w:rPr>
              <w:t>36.68%</w:t>
            </w:r>
          </w:p>
        </w:tc>
        <w:tc>
          <w:tcPr>
            <w:tcW w:type="dxa" w:w="1260"/>
            <w:vAlign w:val="center"/>
          </w:tcPr>
          <w:p>
            <w:pPr>
              <w:jc w:val="center"/>
            </w:pPr>
            <w:r/>
            <w:r>
              <w:rPr>
                <w:b w:val="0"/>
                <w:sz w:val="16"/>
              </w:rPr>
              <w:t>37.50%</w:t>
            </w:r>
          </w:p>
        </w:tc>
        <w:tc>
          <w:tcPr>
            <w:tcW w:type="dxa" w:w="1260"/>
            <w:vAlign w:val="center"/>
          </w:tcPr>
          <w:p>
            <w:pPr>
              <w:jc w:val="center"/>
            </w:pPr>
            <w:r/>
            <w:r>
              <w:rPr>
                <w:b w:val="0"/>
                <w:sz w:val="16"/>
              </w:rPr>
              <w:t>188.05%</w:t>
            </w:r>
          </w:p>
        </w:tc>
        <w:tc>
          <w:tcPr>
            <w:tcW w:type="dxa" w:w="1260"/>
            <w:vAlign w:val="center"/>
          </w:tcPr>
          <w:p>
            <w:pPr>
              <w:jc w:val="center"/>
            </w:pPr>
            <w:r/>
            <w:r>
              <w:rPr>
                <w:b w:val="0"/>
                <w:sz w:val="16"/>
              </w:rPr>
              <w:t>77.04%</w:t>
            </w:r>
          </w:p>
        </w:tc>
        <w:tc>
          <w:tcPr>
            <w:tcW w:type="dxa" w:w="1260"/>
            <w:vAlign w:val="center"/>
          </w:tcPr>
          <w:p>
            <w:pPr>
              <w:jc w:val="center"/>
            </w:pPr>
            <w:r/>
            <w:r>
              <w:rPr>
                <w:b w:val="0"/>
                <w:sz w:val="16"/>
              </w:rPr>
              <w:t>51.44%</w:t>
            </w:r>
          </w:p>
        </w:tc>
      </w:tr>
      <w:tr>
        <w:tc>
          <w:tcPr>
            <w:tcW w:type="dxa" w:w="1260"/>
            <w:vAlign w:val="center"/>
          </w:tcPr>
          <w:p>
            <w:pPr>
              <w:jc w:val="center"/>
            </w:pPr>
            <w:r/>
            <w:r>
              <w:rPr>
                <w:b w:val="0"/>
                <w:sz w:val="16"/>
              </w:rPr>
              <w:t>5年</w:t>
            </w:r>
          </w:p>
        </w:tc>
        <w:tc>
          <w:tcPr>
            <w:tcW w:type="dxa" w:w="1260"/>
            <w:vAlign w:val="center"/>
          </w:tcPr>
          <w:p>
            <w:pPr>
              <w:jc w:val="center"/>
            </w:pPr>
            <w:r/>
            <w:r>
              <w:rPr>
                <w:b w:val="0"/>
                <w:sz w:val="16"/>
              </w:rPr>
              <w:t>60</w:t>
            </w:r>
          </w:p>
        </w:tc>
        <w:tc>
          <w:tcPr>
            <w:tcW w:type="dxa" w:w="1260"/>
            <w:vAlign w:val="center"/>
          </w:tcPr>
          <w:p>
            <w:pPr>
              <w:jc w:val="center"/>
            </w:pPr>
            <w:r/>
            <w:r>
              <w:rPr>
                <w:b w:val="0"/>
                <w:sz w:val="16"/>
              </w:rPr>
              <w:t>1982.96%</w:t>
            </w:r>
          </w:p>
        </w:tc>
        <w:tc>
          <w:tcPr>
            <w:tcW w:type="dxa" w:w="1260"/>
            <w:vAlign w:val="center"/>
          </w:tcPr>
          <w:p>
            <w:pPr>
              <w:jc w:val="center"/>
            </w:pPr>
            <w:r/>
            <w:r>
              <w:rPr>
                <w:b w:val="0"/>
                <w:sz w:val="16"/>
              </w:rPr>
              <w:t>36.68%</w:t>
            </w:r>
          </w:p>
        </w:tc>
        <w:tc>
          <w:tcPr>
            <w:tcW w:type="dxa" w:w="1260"/>
            <w:vAlign w:val="center"/>
          </w:tcPr>
          <w:p>
            <w:pPr>
              <w:jc w:val="center"/>
            </w:pPr>
            <w:r/>
            <w:r>
              <w:rPr>
                <w:b w:val="0"/>
                <w:sz w:val="16"/>
              </w:rPr>
              <w:t>36.67%</w:t>
            </w:r>
          </w:p>
        </w:tc>
        <w:tc>
          <w:tcPr>
            <w:tcW w:type="dxa" w:w="1260"/>
            <w:vAlign w:val="center"/>
          </w:tcPr>
          <w:p>
            <w:pPr>
              <w:jc w:val="center"/>
            </w:pPr>
            <w:r/>
            <w:r>
              <w:rPr>
                <w:b w:val="0"/>
                <w:sz w:val="16"/>
              </w:rPr>
              <w:t>1127.43%</w:t>
            </w:r>
          </w:p>
        </w:tc>
        <w:tc>
          <w:tcPr>
            <w:tcW w:type="dxa" w:w="1260"/>
            <w:vAlign w:val="center"/>
          </w:tcPr>
          <w:p>
            <w:pPr>
              <w:jc w:val="center"/>
            </w:pPr>
            <w:r/>
            <w:r>
              <w:rPr>
                <w:b w:val="0"/>
                <w:sz w:val="16"/>
              </w:rPr>
              <w:t>77.04%</w:t>
            </w:r>
          </w:p>
        </w:tc>
        <w:tc>
          <w:tcPr>
            <w:tcW w:type="dxa" w:w="1260"/>
            <w:vAlign w:val="center"/>
          </w:tcPr>
          <w:p>
            <w:pPr>
              <w:jc w:val="center"/>
            </w:pPr>
            <w:r/>
            <w:r>
              <w:rPr>
                <w:b w:val="0"/>
                <w:sz w:val="16"/>
              </w:rPr>
              <w:t>83.54%</w:t>
            </w:r>
          </w:p>
        </w:tc>
      </w:tr>
    </w:tbl>
    <w:p/>
    <w:p>
      <w:r>
        <w:t>表1显示，MA240策略在1年和2年周期中与持币收益接近，但最大回撤显著低于持币；在3年、4年和5年周期中，策略在收益和风险控制方面均表现较强。特别是在5年周期中，策略收益率达到1982.96%，超过同期持币收益1127.43%，且最大回撤为36.68%，明显低于持币回撤77.04%。</w:t>
      </w:r>
    </w:p>
    <w:p>
      <w:r>
        <w:t>胜率只有25%—43%区间，说明该策略并非依赖高胜率，而是依赖少数大趋势交易贡献主要收益。这是趋势跟踪策略的典型特征：小亏多、胜率低，但盈亏比高。</w:t>
      </w:r>
    </w:p>
    <w:p>
      <w:pPr>
        <w:pStyle w:val="Heading1"/>
      </w:pPr>
      <w:r>
        <w:t>6. 实证结果二：双均线策略的比较与局限</w:t>
      </w:r>
    </w:p>
    <w:p>
      <w:r>
        <w:t>项目中测试了多组双均线组合，包括MA10/MA120、MA20/MA120和MA20/MA240。总体结果显示，双均线策略并没有稳定优于MA240单均线。它们在部分长周期样本中可能优于持币或降低回撤，但在多数情况下存在信号滞后和过度交易问题。</w:t>
      </w:r>
    </w:p>
    <w:p>
      <w:r>
        <w:rPr>
          <w:b/>
        </w:rPr>
        <w:t>表2  双均线组合代表性结果</w:t>
      </w:r>
    </w:p>
    <w:tbl>
      <w:tblPr>
        <w:tblStyle w:val="TableGrid"/>
        <w:tblW w:type="auto" w:w="0"/>
        <w:jc w:val="center"/>
        <w:tblLook w:firstColumn="1" w:firstRow="1" w:lastColumn="0" w:lastRow="0" w:noHBand="0" w:noVBand="1" w:val="04A0"/>
      </w:tblPr>
      <w:tblGrid>
        <w:gridCol w:w="1440"/>
        <w:gridCol w:w="1440"/>
        <w:gridCol w:w="1440"/>
        <w:gridCol w:w="1440"/>
        <w:gridCol w:w="1440"/>
        <w:gridCol w:w="1440"/>
        <w:gridCol w:w="1440"/>
      </w:tblGrid>
      <w:tr>
        <w:tc>
          <w:tcPr>
            <w:tcW w:type="dxa" w:w="1440"/>
            <w:vAlign w:val="center"/>
            <w:shd w:fill="D9EAF7"/>
          </w:tcPr>
          <w:p>
            <w:pPr>
              <w:jc w:val="center"/>
            </w:pPr>
            <w:r/>
            <w:r>
              <w:rPr>
                <w:b/>
                <w:sz w:val="16"/>
              </w:rPr>
              <w:t>组合</w:t>
            </w:r>
          </w:p>
        </w:tc>
        <w:tc>
          <w:tcPr>
            <w:tcW w:type="dxa" w:w="1440"/>
            <w:vAlign w:val="center"/>
            <w:shd w:fill="D9EAF7"/>
          </w:tcPr>
          <w:p>
            <w:pPr>
              <w:jc w:val="center"/>
            </w:pPr>
            <w:r/>
            <w:r>
              <w:rPr>
                <w:b/>
                <w:sz w:val="16"/>
              </w:rPr>
              <w:t>全周期交易次数</w:t>
            </w:r>
          </w:p>
        </w:tc>
        <w:tc>
          <w:tcPr>
            <w:tcW w:type="dxa" w:w="1440"/>
            <w:vAlign w:val="center"/>
            <w:shd w:fill="D9EAF7"/>
          </w:tcPr>
          <w:p>
            <w:pPr>
              <w:jc w:val="center"/>
            </w:pPr>
            <w:r/>
            <w:r>
              <w:rPr>
                <w:b/>
                <w:sz w:val="16"/>
              </w:rPr>
              <w:t>全周期总收益</w:t>
            </w:r>
          </w:p>
        </w:tc>
        <w:tc>
          <w:tcPr>
            <w:tcW w:type="dxa" w:w="1440"/>
            <w:vAlign w:val="center"/>
            <w:shd w:fill="D9EAF7"/>
          </w:tcPr>
          <w:p>
            <w:pPr>
              <w:jc w:val="center"/>
            </w:pPr>
            <w:r/>
            <w:r>
              <w:rPr>
                <w:b/>
                <w:sz w:val="16"/>
              </w:rPr>
              <w:t>最大回撤</w:t>
            </w:r>
          </w:p>
        </w:tc>
        <w:tc>
          <w:tcPr>
            <w:tcW w:type="dxa" w:w="1440"/>
            <w:vAlign w:val="center"/>
            <w:shd w:fill="D9EAF7"/>
          </w:tcPr>
          <w:p>
            <w:pPr>
              <w:jc w:val="center"/>
            </w:pPr>
            <w:r/>
            <w:r>
              <w:rPr>
                <w:b/>
                <w:sz w:val="16"/>
              </w:rPr>
              <w:t>胜率</w:t>
            </w:r>
          </w:p>
        </w:tc>
        <w:tc>
          <w:tcPr>
            <w:tcW w:type="dxa" w:w="1440"/>
            <w:vAlign w:val="center"/>
            <w:shd w:fill="D9EAF7"/>
          </w:tcPr>
          <w:p>
            <w:pPr>
              <w:jc w:val="center"/>
            </w:pPr>
            <w:r/>
            <w:r>
              <w:rPr>
                <w:b/>
                <w:sz w:val="16"/>
              </w:rPr>
              <w:t>持币收益</w:t>
            </w:r>
          </w:p>
        </w:tc>
        <w:tc>
          <w:tcPr>
            <w:tcW w:type="dxa" w:w="1440"/>
            <w:vAlign w:val="center"/>
            <w:shd w:fill="D9EAF7"/>
          </w:tcPr>
          <w:p>
            <w:pPr>
              <w:jc w:val="center"/>
            </w:pPr>
            <w:r/>
            <w:r>
              <w:rPr>
                <w:b/>
                <w:sz w:val="16"/>
              </w:rPr>
              <w:t>结论</w:t>
            </w:r>
          </w:p>
        </w:tc>
      </w:tr>
      <w:tr>
        <w:tc>
          <w:tcPr>
            <w:tcW w:type="dxa" w:w="1440"/>
            <w:vAlign w:val="center"/>
          </w:tcPr>
          <w:p>
            <w:pPr>
              <w:jc w:val="center"/>
            </w:pPr>
            <w:r/>
            <w:r>
              <w:rPr>
                <w:b w:val="0"/>
                <w:sz w:val="16"/>
              </w:rPr>
              <w:t>MA10/MA120</w:t>
            </w:r>
          </w:p>
        </w:tc>
        <w:tc>
          <w:tcPr>
            <w:tcW w:type="dxa" w:w="1440"/>
            <w:vAlign w:val="center"/>
          </w:tcPr>
          <w:p>
            <w:pPr>
              <w:jc w:val="center"/>
            </w:pPr>
            <w:r/>
            <w:r>
              <w:rPr>
                <w:b w:val="0"/>
                <w:sz w:val="16"/>
              </w:rPr>
              <w:t>94</w:t>
            </w:r>
          </w:p>
        </w:tc>
        <w:tc>
          <w:tcPr>
            <w:tcW w:type="dxa" w:w="1440"/>
            <w:vAlign w:val="center"/>
          </w:tcPr>
          <w:p>
            <w:pPr>
              <w:jc w:val="center"/>
            </w:pPr>
            <w:r/>
            <w:r>
              <w:rPr>
                <w:b w:val="0"/>
                <w:sz w:val="16"/>
              </w:rPr>
              <w:t>624.19%</w:t>
            </w:r>
          </w:p>
        </w:tc>
        <w:tc>
          <w:tcPr>
            <w:tcW w:type="dxa" w:w="1440"/>
            <w:vAlign w:val="center"/>
          </w:tcPr>
          <w:p>
            <w:pPr>
              <w:jc w:val="center"/>
            </w:pPr>
            <w:r/>
            <w:r>
              <w:rPr>
                <w:b w:val="0"/>
                <w:sz w:val="16"/>
              </w:rPr>
              <w:t>54.01%</w:t>
            </w:r>
          </w:p>
        </w:tc>
        <w:tc>
          <w:tcPr>
            <w:tcW w:type="dxa" w:w="1440"/>
            <w:vAlign w:val="center"/>
          </w:tcPr>
          <w:p>
            <w:pPr>
              <w:jc w:val="center"/>
            </w:pPr>
            <w:r/>
            <w:r>
              <w:rPr>
                <w:b w:val="0"/>
                <w:sz w:val="16"/>
              </w:rPr>
              <w:t>29.79%</w:t>
            </w:r>
          </w:p>
        </w:tc>
        <w:tc>
          <w:tcPr>
            <w:tcW w:type="dxa" w:w="1440"/>
            <w:vAlign w:val="center"/>
          </w:tcPr>
          <w:p>
            <w:pPr>
              <w:jc w:val="center"/>
            </w:pPr>
            <w:r/>
            <w:r>
              <w:rPr>
                <w:b w:val="0"/>
                <w:sz w:val="16"/>
              </w:rPr>
              <w:t>1053.98%</w:t>
            </w:r>
          </w:p>
        </w:tc>
        <w:tc>
          <w:tcPr>
            <w:tcW w:type="dxa" w:w="1440"/>
            <w:vAlign w:val="center"/>
          </w:tcPr>
          <w:p>
            <w:pPr>
              <w:jc w:val="center"/>
            </w:pPr>
            <w:r/>
            <w:r>
              <w:rPr>
                <w:b w:val="0"/>
                <w:sz w:val="16"/>
              </w:rPr>
              <w:t>交易过多，显著跑输持币</w:t>
            </w:r>
          </w:p>
        </w:tc>
      </w:tr>
      <w:tr>
        <w:tc>
          <w:tcPr>
            <w:tcW w:type="dxa" w:w="1440"/>
            <w:vAlign w:val="center"/>
          </w:tcPr>
          <w:p>
            <w:pPr>
              <w:jc w:val="center"/>
            </w:pPr>
            <w:r/>
            <w:r>
              <w:rPr>
                <w:b w:val="0"/>
                <w:sz w:val="16"/>
              </w:rPr>
              <w:t>MA20/MA120</w:t>
            </w:r>
          </w:p>
        </w:tc>
        <w:tc>
          <w:tcPr>
            <w:tcW w:type="dxa" w:w="1440"/>
            <w:vAlign w:val="center"/>
          </w:tcPr>
          <w:p>
            <w:pPr>
              <w:jc w:val="center"/>
            </w:pPr>
            <w:r/>
            <w:r>
              <w:rPr>
                <w:b w:val="0"/>
                <w:sz w:val="16"/>
              </w:rPr>
              <w:t>67</w:t>
            </w:r>
          </w:p>
        </w:tc>
        <w:tc>
          <w:tcPr>
            <w:tcW w:type="dxa" w:w="1440"/>
            <w:vAlign w:val="center"/>
          </w:tcPr>
          <w:p>
            <w:pPr>
              <w:jc w:val="center"/>
            </w:pPr>
            <w:r/>
            <w:r>
              <w:rPr>
                <w:b w:val="0"/>
                <w:sz w:val="16"/>
              </w:rPr>
              <w:t>788.56%</w:t>
            </w:r>
          </w:p>
        </w:tc>
        <w:tc>
          <w:tcPr>
            <w:tcW w:type="dxa" w:w="1440"/>
            <w:vAlign w:val="center"/>
          </w:tcPr>
          <w:p>
            <w:pPr>
              <w:jc w:val="center"/>
            </w:pPr>
            <w:r/>
            <w:r>
              <w:rPr>
                <w:b w:val="0"/>
                <w:sz w:val="16"/>
              </w:rPr>
              <w:t>52.86%</w:t>
            </w:r>
          </w:p>
        </w:tc>
        <w:tc>
          <w:tcPr>
            <w:tcW w:type="dxa" w:w="1440"/>
            <w:vAlign w:val="center"/>
          </w:tcPr>
          <w:p>
            <w:pPr>
              <w:jc w:val="center"/>
            </w:pPr>
            <w:r/>
            <w:r>
              <w:rPr>
                <w:b w:val="0"/>
                <w:sz w:val="16"/>
              </w:rPr>
              <w:t>31.34%</w:t>
            </w:r>
          </w:p>
        </w:tc>
        <w:tc>
          <w:tcPr>
            <w:tcW w:type="dxa" w:w="1440"/>
            <w:vAlign w:val="center"/>
          </w:tcPr>
          <w:p>
            <w:pPr>
              <w:jc w:val="center"/>
            </w:pPr>
            <w:r/>
            <w:r>
              <w:rPr>
                <w:b w:val="0"/>
                <w:sz w:val="16"/>
              </w:rPr>
              <w:t>1053.08%</w:t>
            </w:r>
          </w:p>
        </w:tc>
        <w:tc>
          <w:tcPr>
            <w:tcW w:type="dxa" w:w="1440"/>
            <w:vAlign w:val="center"/>
          </w:tcPr>
          <w:p>
            <w:pPr>
              <w:jc w:val="center"/>
            </w:pPr>
            <w:r/>
            <w:r>
              <w:rPr>
                <w:b w:val="0"/>
                <w:sz w:val="16"/>
              </w:rPr>
              <w:t>较MA10改善，但仍跑输持币</w:t>
            </w:r>
          </w:p>
        </w:tc>
      </w:tr>
      <w:tr>
        <w:tc>
          <w:tcPr>
            <w:tcW w:type="dxa" w:w="1440"/>
            <w:vAlign w:val="center"/>
          </w:tcPr>
          <w:p>
            <w:pPr>
              <w:jc w:val="center"/>
            </w:pPr>
            <w:r/>
            <w:r>
              <w:rPr>
                <w:b w:val="0"/>
                <w:sz w:val="16"/>
              </w:rPr>
              <w:t>MA20/MA240</w:t>
            </w:r>
          </w:p>
        </w:tc>
        <w:tc>
          <w:tcPr>
            <w:tcW w:type="dxa" w:w="1440"/>
            <w:vAlign w:val="center"/>
          </w:tcPr>
          <w:p>
            <w:pPr>
              <w:jc w:val="center"/>
            </w:pPr>
            <w:r/>
            <w:r>
              <w:rPr>
                <w:b w:val="0"/>
                <w:sz w:val="16"/>
              </w:rPr>
              <w:t>37</w:t>
            </w:r>
          </w:p>
        </w:tc>
        <w:tc>
          <w:tcPr>
            <w:tcW w:type="dxa" w:w="1440"/>
            <w:vAlign w:val="center"/>
          </w:tcPr>
          <w:p>
            <w:pPr>
              <w:jc w:val="center"/>
            </w:pPr>
            <w:r/>
            <w:r>
              <w:rPr>
                <w:b w:val="0"/>
                <w:sz w:val="16"/>
              </w:rPr>
              <w:t>1276.54%</w:t>
            </w:r>
          </w:p>
        </w:tc>
        <w:tc>
          <w:tcPr>
            <w:tcW w:type="dxa" w:w="1440"/>
            <w:vAlign w:val="center"/>
          </w:tcPr>
          <w:p>
            <w:pPr>
              <w:jc w:val="center"/>
            </w:pPr>
            <w:r/>
            <w:r>
              <w:rPr>
                <w:b w:val="0"/>
                <w:sz w:val="16"/>
              </w:rPr>
              <w:t>50.16%</w:t>
            </w:r>
          </w:p>
        </w:tc>
        <w:tc>
          <w:tcPr>
            <w:tcW w:type="dxa" w:w="1440"/>
            <w:vAlign w:val="center"/>
          </w:tcPr>
          <w:p>
            <w:pPr>
              <w:jc w:val="center"/>
            </w:pPr>
            <w:r/>
            <w:r>
              <w:rPr>
                <w:b w:val="0"/>
                <w:sz w:val="16"/>
              </w:rPr>
              <w:t>35.14%</w:t>
            </w:r>
          </w:p>
        </w:tc>
        <w:tc>
          <w:tcPr>
            <w:tcW w:type="dxa" w:w="1440"/>
            <w:vAlign w:val="center"/>
          </w:tcPr>
          <w:p>
            <w:pPr>
              <w:jc w:val="center"/>
            </w:pPr>
            <w:r/>
            <w:r>
              <w:rPr>
                <w:b w:val="0"/>
                <w:sz w:val="16"/>
              </w:rPr>
              <w:t>972.79%</w:t>
            </w:r>
          </w:p>
        </w:tc>
        <w:tc>
          <w:tcPr>
            <w:tcW w:type="dxa" w:w="1440"/>
            <w:vAlign w:val="center"/>
          </w:tcPr>
          <w:p>
            <w:pPr>
              <w:jc w:val="center"/>
            </w:pPr>
            <w:r/>
            <w:r>
              <w:rPr>
                <w:b w:val="0"/>
                <w:sz w:val="16"/>
              </w:rPr>
              <w:t>长期表现较好，但不如MA240单均线简洁稳定</w:t>
            </w:r>
          </w:p>
        </w:tc>
      </w:tr>
    </w:tbl>
    <w:p/>
    <w:p>
      <w:r>
        <w:t>双均线策略理论上可以减少单价穿越均线时的噪声，但对于BTC这类强趋势资产，行情启动往往发生在价格刚刚贴近长周期均线时。双均线的确认机制会提高入场滞后，错过趋势初段；而在横盘区间，短均线和长均线仍然会反复交叉，无法从根本上消除交易磨损。</w:t>
      </w:r>
    </w:p>
    <w:p>
      <w:pPr>
        <w:pStyle w:val="Heading1"/>
      </w:pPr>
      <w:r>
        <w:t>7. 实证结果三：横盘磨损与出场优化</w:t>
      </w:r>
    </w:p>
    <w:p>
      <w:r>
        <w:t>当BTC价格在MA240附近震荡时，原始策略容易出现跌破卖出、随后又快速站回均线的情况。项目曾尝试通过MA斜率过滤、距离过滤等方式优化进场，但过强的进场过滤会错过BTC主升浪，甚至使策略全周期亏损。因此，更合理的优化方向是放宽出场条件，降低假跌破造成的交易损耗。</w:t>
      </w:r>
    </w:p>
    <w:p>
      <w:r>
        <w:rPr>
          <w:b/>
        </w:rPr>
        <w:t>表3  原始MA240策略与放宽出场策略对比</w:t>
      </w:r>
    </w:p>
    <w:tbl>
      <w:tblPr>
        <w:tblStyle w:val="TableGrid"/>
        <w:tblW w:type="auto" w:w="0"/>
        <w:jc w:val="center"/>
        <w:tblLook w:firstColumn="1" w:firstRow="1" w:lastColumn="0" w:lastRow="0" w:noHBand="0" w:noVBand="1" w:val="04A0"/>
      </w:tblPr>
      <w:tblGrid>
        <w:gridCol w:w="1440"/>
        <w:gridCol w:w="1440"/>
        <w:gridCol w:w="1440"/>
        <w:gridCol w:w="1440"/>
        <w:gridCol w:w="1440"/>
        <w:gridCol w:w="1440"/>
        <w:gridCol w:w="1440"/>
      </w:tblGrid>
      <w:tr>
        <w:tc>
          <w:tcPr>
            <w:tcW w:type="dxa" w:w="1440"/>
            <w:vAlign w:val="center"/>
            <w:shd w:fill="D9EAF7"/>
          </w:tcPr>
          <w:p>
            <w:pPr>
              <w:jc w:val="center"/>
            </w:pPr>
            <w:r/>
            <w:r>
              <w:rPr>
                <w:b/>
                <w:sz w:val="16"/>
              </w:rPr>
              <w:t>周期</w:t>
            </w:r>
          </w:p>
        </w:tc>
        <w:tc>
          <w:tcPr>
            <w:tcW w:type="dxa" w:w="1440"/>
            <w:vAlign w:val="center"/>
            <w:shd w:fill="D9EAF7"/>
          </w:tcPr>
          <w:p>
            <w:pPr>
              <w:jc w:val="center"/>
            </w:pPr>
            <w:r/>
            <w:r>
              <w:rPr>
                <w:b/>
                <w:sz w:val="16"/>
              </w:rPr>
              <w:t>策略</w:t>
            </w:r>
          </w:p>
        </w:tc>
        <w:tc>
          <w:tcPr>
            <w:tcW w:type="dxa" w:w="1440"/>
            <w:vAlign w:val="center"/>
            <w:shd w:fill="D9EAF7"/>
          </w:tcPr>
          <w:p>
            <w:pPr>
              <w:jc w:val="center"/>
            </w:pPr>
            <w:r/>
            <w:r>
              <w:rPr>
                <w:b/>
                <w:sz w:val="16"/>
              </w:rPr>
              <w:t>交易次数</w:t>
            </w:r>
          </w:p>
        </w:tc>
        <w:tc>
          <w:tcPr>
            <w:tcW w:type="dxa" w:w="1440"/>
            <w:vAlign w:val="center"/>
            <w:shd w:fill="D9EAF7"/>
          </w:tcPr>
          <w:p>
            <w:pPr>
              <w:jc w:val="center"/>
            </w:pPr>
            <w:r/>
            <w:r>
              <w:rPr>
                <w:b/>
                <w:sz w:val="16"/>
              </w:rPr>
              <w:t>总收益</w:t>
            </w:r>
          </w:p>
        </w:tc>
        <w:tc>
          <w:tcPr>
            <w:tcW w:type="dxa" w:w="1440"/>
            <w:vAlign w:val="center"/>
            <w:shd w:fill="D9EAF7"/>
          </w:tcPr>
          <w:p>
            <w:pPr>
              <w:jc w:val="center"/>
            </w:pPr>
            <w:r/>
            <w:r>
              <w:rPr>
                <w:b/>
                <w:sz w:val="16"/>
              </w:rPr>
              <w:t>最大回撤</w:t>
            </w:r>
          </w:p>
        </w:tc>
        <w:tc>
          <w:tcPr>
            <w:tcW w:type="dxa" w:w="1440"/>
            <w:vAlign w:val="center"/>
            <w:shd w:fill="D9EAF7"/>
          </w:tcPr>
          <w:p>
            <w:pPr>
              <w:jc w:val="center"/>
            </w:pPr>
            <w:r/>
            <w:r>
              <w:rPr>
                <w:b/>
                <w:sz w:val="16"/>
              </w:rPr>
              <w:t>胜率</w:t>
            </w:r>
          </w:p>
        </w:tc>
        <w:tc>
          <w:tcPr>
            <w:tcW w:type="dxa" w:w="1440"/>
            <w:vAlign w:val="center"/>
            <w:shd w:fill="D9EAF7"/>
          </w:tcPr>
          <w:p>
            <w:pPr>
              <w:jc w:val="center"/>
            </w:pPr>
            <w:r/>
            <w:r>
              <w:rPr>
                <w:b/>
                <w:sz w:val="16"/>
              </w:rPr>
              <w:t>年化</w:t>
            </w:r>
          </w:p>
        </w:tc>
      </w:tr>
      <w:tr>
        <w:tc>
          <w:tcPr>
            <w:tcW w:type="dxa" w:w="1440"/>
            <w:vAlign w:val="center"/>
          </w:tcPr>
          <w:p>
            <w:pPr>
              <w:jc w:val="center"/>
            </w:pPr>
            <w:r/>
            <w:r>
              <w:rPr>
                <w:b w:val="0"/>
                <w:sz w:val="16"/>
              </w:rPr>
              <w:t>1年</w:t>
            </w:r>
          </w:p>
        </w:tc>
        <w:tc>
          <w:tcPr>
            <w:tcW w:type="dxa" w:w="1440"/>
            <w:vAlign w:val="center"/>
          </w:tcPr>
          <w:p>
            <w:pPr>
              <w:jc w:val="center"/>
            </w:pPr>
            <w:r/>
            <w:r>
              <w:rPr>
                <w:b w:val="0"/>
                <w:sz w:val="16"/>
              </w:rPr>
              <w:t>原始MA240</w:t>
            </w:r>
          </w:p>
        </w:tc>
        <w:tc>
          <w:tcPr>
            <w:tcW w:type="dxa" w:w="1440"/>
            <w:vAlign w:val="center"/>
          </w:tcPr>
          <w:p>
            <w:pPr>
              <w:jc w:val="center"/>
            </w:pPr>
            <w:r/>
            <w:r>
              <w:rPr>
                <w:b w:val="0"/>
                <w:sz w:val="16"/>
              </w:rPr>
              <w:t>12</w:t>
            </w:r>
          </w:p>
        </w:tc>
        <w:tc>
          <w:tcPr>
            <w:tcW w:type="dxa" w:w="1440"/>
            <w:vAlign w:val="center"/>
          </w:tcPr>
          <w:p>
            <w:pPr>
              <w:jc w:val="center"/>
            </w:pPr>
            <w:r/>
            <w:r>
              <w:rPr>
                <w:b w:val="0"/>
                <w:sz w:val="16"/>
              </w:rPr>
              <w:t>54.92%</w:t>
            </w:r>
          </w:p>
        </w:tc>
        <w:tc>
          <w:tcPr>
            <w:tcW w:type="dxa" w:w="1440"/>
            <w:vAlign w:val="center"/>
          </w:tcPr>
          <w:p>
            <w:pPr>
              <w:jc w:val="center"/>
            </w:pPr>
            <w:r/>
            <w:r>
              <w:rPr>
                <w:b w:val="0"/>
                <w:sz w:val="16"/>
              </w:rPr>
              <w:t>25.35%</w:t>
            </w:r>
          </w:p>
        </w:tc>
        <w:tc>
          <w:tcPr>
            <w:tcW w:type="dxa" w:w="1440"/>
            <w:vAlign w:val="center"/>
          </w:tcPr>
          <w:p>
            <w:pPr>
              <w:jc w:val="center"/>
            </w:pPr>
            <w:r/>
            <w:r>
              <w:rPr>
                <w:b w:val="0"/>
                <w:sz w:val="16"/>
              </w:rPr>
              <w:t>25.00%</w:t>
            </w:r>
          </w:p>
        </w:tc>
        <w:tc>
          <w:tcPr>
            <w:tcW w:type="dxa" w:w="1440"/>
            <w:vAlign w:val="center"/>
          </w:tcPr>
          <w:p>
            <w:pPr>
              <w:jc w:val="center"/>
            </w:pPr>
            <w:r/>
            <w:r>
              <w:rPr>
                <w:b w:val="0"/>
                <w:sz w:val="16"/>
              </w:rPr>
              <w:t>54.97%</w:t>
            </w:r>
          </w:p>
        </w:tc>
      </w:tr>
      <w:tr>
        <w:tc>
          <w:tcPr>
            <w:tcW w:type="dxa" w:w="1440"/>
            <w:vAlign w:val="center"/>
          </w:tcPr>
          <w:p>
            <w:pPr>
              <w:jc w:val="center"/>
            </w:pPr>
            <w:r/>
            <w:r>
              <w:rPr>
                <w:b w:val="0"/>
                <w:sz w:val="16"/>
              </w:rPr>
              <w:t>1年</w:t>
            </w:r>
          </w:p>
        </w:tc>
        <w:tc>
          <w:tcPr>
            <w:tcW w:type="dxa" w:w="1440"/>
            <w:vAlign w:val="center"/>
          </w:tcPr>
          <w:p>
            <w:pPr>
              <w:jc w:val="center"/>
            </w:pPr>
            <w:r/>
            <w:r>
              <w:rPr>
                <w:b w:val="0"/>
                <w:sz w:val="16"/>
              </w:rPr>
              <w:t>跌破MA240 1%才卖</w:t>
            </w:r>
          </w:p>
        </w:tc>
        <w:tc>
          <w:tcPr>
            <w:tcW w:type="dxa" w:w="1440"/>
            <w:vAlign w:val="center"/>
          </w:tcPr>
          <w:p>
            <w:pPr>
              <w:jc w:val="center"/>
            </w:pPr>
            <w:r/>
            <w:r>
              <w:rPr>
                <w:b w:val="0"/>
                <w:sz w:val="16"/>
              </w:rPr>
              <w:t>11</w:t>
            </w:r>
          </w:p>
        </w:tc>
        <w:tc>
          <w:tcPr>
            <w:tcW w:type="dxa" w:w="1440"/>
            <w:vAlign w:val="center"/>
          </w:tcPr>
          <w:p>
            <w:pPr>
              <w:jc w:val="center"/>
            </w:pPr>
            <w:r/>
            <w:r>
              <w:rPr>
                <w:b w:val="0"/>
                <w:sz w:val="16"/>
              </w:rPr>
              <w:t>43.86%</w:t>
            </w:r>
          </w:p>
        </w:tc>
        <w:tc>
          <w:tcPr>
            <w:tcW w:type="dxa" w:w="1440"/>
            <w:vAlign w:val="center"/>
          </w:tcPr>
          <w:p>
            <w:pPr>
              <w:jc w:val="center"/>
            </w:pPr>
            <w:r/>
            <w:r>
              <w:rPr>
                <w:b w:val="0"/>
                <w:sz w:val="16"/>
              </w:rPr>
              <w:t>28.39%</w:t>
            </w:r>
          </w:p>
        </w:tc>
        <w:tc>
          <w:tcPr>
            <w:tcW w:type="dxa" w:w="1440"/>
            <w:vAlign w:val="center"/>
          </w:tcPr>
          <w:p>
            <w:pPr>
              <w:jc w:val="center"/>
            </w:pPr>
            <w:r/>
            <w:r>
              <w:rPr>
                <w:b w:val="0"/>
                <w:sz w:val="16"/>
              </w:rPr>
              <w:t>18.18%</w:t>
            </w:r>
          </w:p>
        </w:tc>
        <w:tc>
          <w:tcPr>
            <w:tcW w:type="dxa" w:w="1440"/>
            <w:vAlign w:val="center"/>
          </w:tcPr>
          <w:p>
            <w:pPr>
              <w:jc w:val="center"/>
            </w:pPr>
            <w:r/>
            <w:r>
              <w:rPr>
                <w:b w:val="0"/>
                <w:sz w:val="16"/>
              </w:rPr>
              <w:t>43.89%</w:t>
            </w:r>
          </w:p>
        </w:tc>
      </w:tr>
      <w:tr>
        <w:tc>
          <w:tcPr>
            <w:tcW w:type="dxa" w:w="1440"/>
            <w:vAlign w:val="center"/>
          </w:tcPr>
          <w:p>
            <w:pPr>
              <w:jc w:val="center"/>
            </w:pPr>
            <w:r/>
            <w:r>
              <w:rPr>
                <w:b w:val="0"/>
                <w:sz w:val="16"/>
              </w:rPr>
              <w:t>2年</w:t>
            </w:r>
          </w:p>
        </w:tc>
        <w:tc>
          <w:tcPr>
            <w:tcW w:type="dxa" w:w="1440"/>
            <w:vAlign w:val="center"/>
          </w:tcPr>
          <w:p>
            <w:pPr>
              <w:jc w:val="center"/>
            </w:pPr>
            <w:r/>
            <w:r>
              <w:rPr>
                <w:b w:val="0"/>
                <w:sz w:val="16"/>
              </w:rPr>
              <w:t>原始MA240</w:t>
            </w:r>
          </w:p>
        </w:tc>
        <w:tc>
          <w:tcPr>
            <w:tcW w:type="dxa" w:w="1440"/>
            <w:vAlign w:val="center"/>
          </w:tcPr>
          <w:p>
            <w:pPr>
              <w:jc w:val="center"/>
            </w:pPr>
            <w:r/>
            <w:r>
              <w:rPr>
                <w:b w:val="0"/>
                <w:sz w:val="16"/>
              </w:rPr>
              <w:t>21</w:t>
            </w:r>
          </w:p>
        </w:tc>
        <w:tc>
          <w:tcPr>
            <w:tcW w:type="dxa" w:w="1440"/>
            <w:vAlign w:val="center"/>
          </w:tcPr>
          <w:p>
            <w:pPr>
              <w:jc w:val="center"/>
            </w:pPr>
            <w:r/>
            <w:r>
              <w:rPr>
                <w:b w:val="0"/>
                <w:sz w:val="16"/>
              </w:rPr>
              <w:t>280.00%</w:t>
            </w:r>
          </w:p>
        </w:tc>
        <w:tc>
          <w:tcPr>
            <w:tcW w:type="dxa" w:w="1440"/>
            <w:vAlign w:val="center"/>
          </w:tcPr>
          <w:p>
            <w:pPr>
              <w:jc w:val="center"/>
            </w:pPr>
            <w:r/>
            <w:r>
              <w:rPr>
                <w:b w:val="0"/>
                <w:sz w:val="16"/>
              </w:rPr>
              <w:t>25.35%</w:t>
            </w:r>
          </w:p>
        </w:tc>
        <w:tc>
          <w:tcPr>
            <w:tcW w:type="dxa" w:w="1440"/>
            <w:vAlign w:val="center"/>
          </w:tcPr>
          <w:p>
            <w:pPr>
              <w:jc w:val="center"/>
            </w:pPr>
            <w:r/>
            <w:r>
              <w:rPr>
                <w:b w:val="0"/>
                <w:sz w:val="16"/>
              </w:rPr>
              <w:t>42.86%</w:t>
            </w:r>
          </w:p>
        </w:tc>
        <w:tc>
          <w:tcPr>
            <w:tcW w:type="dxa" w:w="1440"/>
            <w:vAlign w:val="center"/>
          </w:tcPr>
          <w:p>
            <w:pPr>
              <w:jc w:val="center"/>
            </w:pPr>
            <w:r/>
            <w:r>
              <w:rPr>
                <w:b w:val="0"/>
                <w:sz w:val="16"/>
              </w:rPr>
              <w:t>95.02%</w:t>
            </w:r>
          </w:p>
        </w:tc>
      </w:tr>
      <w:tr>
        <w:tc>
          <w:tcPr>
            <w:tcW w:type="dxa" w:w="1440"/>
            <w:vAlign w:val="center"/>
          </w:tcPr>
          <w:p>
            <w:pPr>
              <w:jc w:val="center"/>
            </w:pPr>
            <w:r/>
            <w:r>
              <w:rPr>
                <w:b w:val="0"/>
                <w:sz w:val="16"/>
              </w:rPr>
              <w:t>2年</w:t>
            </w:r>
          </w:p>
        </w:tc>
        <w:tc>
          <w:tcPr>
            <w:tcW w:type="dxa" w:w="1440"/>
            <w:vAlign w:val="center"/>
          </w:tcPr>
          <w:p>
            <w:pPr>
              <w:jc w:val="center"/>
            </w:pPr>
            <w:r/>
            <w:r>
              <w:rPr>
                <w:b w:val="0"/>
                <w:sz w:val="16"/>
              </w:rPr>
              <w:t>跌破MA240 1%才卖</w:t>
            </w:r>
          </w:p>
        </w:tc>
        <w:tc>
          <w:tcPr>
            <w:tcW w:type="dxa" w:w="1440"/>
            <w:vAlign w:val="center"/>
          </w:tcPr>
          <w:p>
            <w:pPr>
              <w:jc w:val="center"/>
            </w:pPr>
            <w:r/>
            <w:r>
              <w:rPr>
                <w:b w:val="0"/>
                <w:sz w:val="16"/>
              </w:rPr>
              <w:t>15</w:t>
            </w:r>
          </w:p>
        </w:tc>
        <w:tc>
          <w:tcPr>
            <w:tcW w:type="dxa" w:w="1440"/>
            <w:vAlign w:val="center"/>
          </w:tcPr>
          <w:p>
            <w:pPr>
              <w:jc w:val="center"/>
            </w:pPr>
            <w:r/>
            <w:r>
              <w:rPr>
                <w:b w:val="0"/>
                <w:sz w:val="16"/>
              </w:rPr>
              <w:t>272.08%</w:t>
            </w:r>
          </w:p>
        </w:tc>
        <w:tc>
          <w:tcPr>
            <w:tcW w:type="dxa" w:w="1440"/>
            <w:vAlign w:val="center"/>
          </w:tcPr>
          <w:p>
            <w:pPr>
              <w:jc w:val="center"/>
            </w:pPr>
            <w:r/>
            <w:r>
              <w:rPr>
                <w:b w:val="0"/>
                <w:sz w:val="16"/>
              </w:rPr>
              <w:t>28.39%</w:t>
            </w:r>
          </w:p>
        </w:tc>
        <w:tc>
          <w:tcPr>
            <w:tcW w:type="dxa" w:w="1440"/>
            <w:vAlign w:val="center"/>
          </w:tcPr>
          <w:p>
            <w:pPr>
              <w:jc w:val="center"/>
            </w:pPr>
            <w:r/>
            <w:r>
              <w:rPr>
                <w:b w:val="0"/>
                <w:sz w:val="16"/>
              </w:rPr>
              <w:t>40.00%</w:t>
            </w:r>
          </w:p>
        </w:tc>
        <w:tc>
          <w:tcPr>
            <w:tcW w:type="dxa" w:w="1440"/>
            <w:vAlign w:val="center"/>
          </w:tcPr>
          <w:p>
            <w:pPr>
              <w:jc w:val="center"/>
            </w:pPr>
            <w:r/>
            <w:r>
              <w:rPr>
                <w:b w:val="0"/>
                <w:sz w:val="16"/>
              </w:rPr>
              <w:t>92.98%</w:t>
            </w:r>
          </w:p>
        </w:tc>
      </w:tr>
      <w:tr>
        <w:tc>
          <w:tcPr>
            <w:tcW w:type="dxa" w:w="1440"/>
            <w:vAlign w:val="center"/>
          </w:tcPr>
          <w:p>
            <w:pPr>
              <w:jc w:val="center"/>
            </w:pPr>
            <w:r/>
            <w:r>
              <w:rPr>
                <w:b w:val="0"/>
                <w:sz w:val="16"/>
              </w:rPr>
              <w:t>3年</w:t>
            </w:r>
          </w:p>
        </w:tc>
        <w:tc>
          <w:tcPr>
            <w:tcW w:type="dxa" w:w="1440"/>
            <w:vAlign w:val="center"/>
          </w:tcPr>
          <w:p>
            <w:pPr>
              <w:jc w:val="center"/>
            </w:pPr>
            <w:r/>
            <w:r>
              <w:rPr>
                <w:b w:val="0"/>
                <w:sz w:val="16"/>
              </w:rPr>
              <w:t>原始MA240</w:t>
            </w:r>
          </w:p>
        </w:tc>
        <w:tc>
          <w:tcPr>
            <w:tcW w:type="dxa" w:w="1440"/>
            <w:vAlign w:val="center"/>
          </w:tcPr>
          <w:p>
            <w:pPr>
              <w:jc w:val="center"/>
            </w:pPr>
            <w:r/>
            <w:r>
              <w:rPr>
                <w:b w:val="0"/>
                <w:sz w:val="16"/>
              </w:rPr>
              <w:t>36</w:t>
            </w:r>
          </w:p>
        </w:tc>
        <w:tc>
          <w:tcPr>
            <w:tcW w:type="dxa" w:w="1440"/>
            <w:vAlign w:val="center"/>
          </w:tcPr>
          <w:p>
            <w:pPr>
              <w:jc w:val="center"/>
            </w:pPr>
            <w:r/>
            <w:r>
              <w:rPr>
                <w:b w:val="0"/>
                <w:sz w:val="16"/>
              </w:rPr>
              <w:t>317.42%</w:t>
            </w:r>
          </w:p>
        </w:tc>
        <w:tc>
          <w:tcPr>
            <w:tcW w:type="dxa" w:w="1440"/>
            <w:vAlign w:val="center"/>
          </w:tcPr>
          <w:p>
            <w:pPr>
              <w:jc w:val="center"/>
            </w:pPr>
            <w:r/>
            <w:r>
              <w:rPr>
                <w:b w:val="0"/>
                <w:sz w:val="16"/>
              </w:rPr>
              <w:t>29.69%</w:t>
            </w:r>
          </w:p>
        </w:tc>
        <w:tc>
          <w:tcPr>
            <w:tcW w:type="dxa" w:w="1440"/>
            <w:vAlign w:val="center"/>
          </w:tcPr>
          <w:p>
            <w:pPr>
              <w:jc w:val="center"/>
            </w:pPr>
            <w:r/>
            <w:r>
              <w:rPr>
                <w:b w:val="0"/>
                <w:sz w:val="16"/>
              </w:rPr>
              <w:t>38.89%</w:t>
            </w:r>
          </w:p>
        </w:tc>
        <w:tc>
          <w:tcPr>
            <w:tcW w:type="dxa" w:w="1440"/>
            <w:vAlign w:val="center"/>
          </w:tcPr>
          <w:p>
            <w:pPr>
              <w:jc w:val="center"/>
            </w:pPr>
            <w:r/>
            <w:r>
              <w:rPr>
                <w:b w:val="0"/>
                <w:sz w:val="16"/>
              </w:rPr>
              <w:t>61.06%</w:t>
            </w:r>
          </w:p>
        </w:tc>
      </w:tr>
      <w:tr>
        <w:tc>
          <w:tcPr>
            <w:tcW w:type="dxa" w:w="1440"/>
            <w:vAlign w:val="center"/>
          </w:tcPr>
          <w:p>
            <w:pPr>
              <w:jc w:val="center"/>
            </w:pPr>
            <w:r/>
            <w:r>
              <w:rPr>
                <w:b w:val="0"/>
                <w:sz w:val="16"/>
              </w:rPr>
              <w:t>3年</w:t>
            </w:r>
          </w:p>
        </w:tc>
        <w:tc>
          <w:tcPr>
            <w:tcW w:type="dxa" w:w="1440"/>
            <w:vAlign w:val="center"/>
          </w:tcPr>
          <w:p>
            <w:pPr>
              <w:jc w:val="center"/>
            </w:pPr>
            <w:r/>
            <w:r>
              <w:rPr>
                <w:b w:val="0"/>
                <w:sz w:val="16"/>
              </w:rPr>
              <w:t>跌破MA240 1%才卖</w:t>
            </w:r>
          </w:p>
        </w:tc>
        <w:tc>
          <w:tcPr>
            <w:tcW w:type="dxa" w:w="1440"/>
            <w:vAlign w:val="center"/>
          </w:tcPr>
          <w:p>
            <w:pPr>
              <w:jc w:val="center"/>
            </w:pPr>
            <w:r/>
            <w:r>
              <w:rPr>
                <w:b w:val="0"/>
                <w:sz w:val="16"/>
              </w:rPr>
              <w:t>26</w:t>
            </w:r>
          </w:p>
        </w:tc>
        <w:tc>
          <w:tcPr>
            <w:tcW w:type="dxa" w:w="1440"/>
            <w:vAlign w:val="center"/>
          </w:tcPr>
          <w:p>
            <w:pPr>
              <w:jc w:val="center"/>
            </w:pPr>
            <w:r/>
            <w:r>
              <w:rPr>
                <w:b w:val="0"/>
                <w:sz w:val="16"/>
              </w:rPr>
              <w:t>322.22%</w:t>
            </w:r>
          </w:p>
        </w:tc>
        <w:tc>
          <w:tcPr>
            <w:tcW w:type="dxa" w:w="1440"/>
            <w:vAlign w:val="center"/>
          </w:tcPr>
          <w:p>
            <w:pPr>
              <w:jc w:val="center"/>
            </w:pPr>
            <w:r/>
            <w:r>
              <w:rPr>
                <w:b w:val="0"/>
                <w:sz w:val="16"/>
              </w:rPr>
              <w:t>30.90%</w:t>
            </w:r>
          </w:p>
        </w:tc>
        <w:tc>
          <w:tcPr>
            <w:tcW w:type="dxa" w:w="1440"/>
            <w:vAlign w:val="center"/>
          </w:tcPr>
          <w:p>
            <w:pPr>
              <w:jc w:val="center"/>
            </w:pPr>
            <w:r/>
            <w:r>
              <w:rPr>
                <w:b w:val="0"/>
                <w:sz w:val="16"/>
              </w:rPr>
              <w:t>30.77%</w:t>
            </w:r>
          </w:p>
        </w:tc>
        <w:tc>
          <w:tcPr>
            <w:tcW w:type="dxa" w:w="1440"/>
            <w:vAlign w:val="center"/>
          </w:tcPr>
          <w:p>
            <w:pPr>
              <w:jc w:val="center"/>
            </w:pPr>
            <w:r/>
            <w:r>
              <w:rPr>
                <w:b w:val="0"/>
                <w:sz w:val="16"/>
              </w:rPr>
              <w:t>61.68%</w:t>
            </w:r>
          </w:p>
        </w:tc>
      </w:tr>
      <w:tr>
        <w:tc>
          <w:tcPr>
            <w:tcW w:type="dxa" w:w="1440"/>
            <w:vAlign w:val="center"/>
          </w:tcPr>
          <w:p>
            <w:pPr>
              <w:jc w:val="center"/>
            </w:pPr>
            <w:r/>
            <w:r>
              <w:rPr>
                <w:b w:val="0"/>
                <w:sz w:val="16"/>
              </w:rPr>
              <w:t>4年</w:t>
            </w:r>
          </w:p>
        </w:tc>
        <w:tc>
          <w:tcPr>
            <w:tcW w:type="dxa" w:w="1440"/>
            <w:vAlign w:val="center"/>
          </w:tcPr>
          <w:p>
            <w:pPr>
              <w:jc w:val="center"/>
            </w:pPr>
            <w:r/>
            <w:r>
              <w:rPr>
                <w:b w:val="0"/>
                <w:sz w:val="16"/>
              </w:rPr>
              <w:t>原始MA240</w:t>
            </w:r>
          </w:p>
        </w:tc>
        <w:tc>
          <w:tcPr>
            <w:tcW w:type="dxa" w:w="1440"/>
            <w:vAlign w:val="center"/>
          </w:tcPr>
          <w:p>
            <w:pPr>
              <w:jc w:val="center"/>
            </w:pPr>
            <w:r/>
            <w:r>
              <w:rPr>
                <w:b w:val="0"/>
                <w:sz w:val="16"/>
              </w:rPr>
              <w:t>48</w:t>
            </w:r>
          </w:p>
        </w:tc>
        <w:tc>
          <w:tcPr>
            <w:tcW w:type="dxa" w:w="1440"/>
            <w:vAlign w:val="center"/>
          </w:tcPr>
          <w:p>
            <w:pPr>
              <w:jc w:val="center"/>
            </w:pPr>
            <w:r/>
            <w:r>
              <w:rPr>
                <w:b w:val="0"/>
                <w:sz w:val="16"/>
              </w:rPr>
              <w:t>377.77%</w:t>
            </w:r>
          </w:p>
        </w:tc>
        <w:tc>
          <w:tcPr>
            <w:tcW w:type="dxa" w:w="1440"/>
            <w:vAlign w:val="center"/>
          </w:tcPr>
          <w:p>
            <w:pPr>
              <w:jc w:val="center"/>
            </w:pPr>
            <w:r/>
            <w:r>
              <w:rPr>
                <w:b w:val="0"/>
                <w:sz w:val="16"/>
              </w:rPr>
              <w:t>46.00%</w:t>
            </w:r>
          </w:p>
        </w:tc>
        <w:tc>
          <w:tcPr>
            <w:tcW w:type="dxa" w:w="1440"/>
            <w:vAlign w:val="center"/>
          </w:tcPr>
          <w:p>
            <w:pPr>
              <w:jc w:val="center"/>
            </w:pPr>
            <w:r/>
            <w:r>
              <w:rPr>
                <w:b w:val="0"/>
                <w:sz w:val="16"/>
              </w:rPr>
              <w:t>37.50%</w:t>
            </w:r>
          </w:p>
        </w:tc>
        <w:tc>
          <w:tcPr>
            <w:tcW w:type="dxa" w:w="1440"/>
            <w:vAlign w:val="center"/>
          </w:tcPr>
          <w:p>
            <w:pPr>
              <w:jc w:val="center"/>
            </w:pPr>
            <w:r/>
            <w:r>
              <w:rPr>
                <w:b w:val="0"/>
                <w:sz w:val="16"/>
              </w:rPr>
              <w:t>47.88%</w:t>
            </w:r>
          </w:p>
        </w:tc>
      </w:tr>
      <w:tr>
        <w:tc>
          <w:tcPr>
            <w:tcW w:type="dxa" w:w="1440"/>
            <w:vAlign w:val="center"/>
          </w:tcPr>
          <w:p>
            <w:pPr>
              <w:jc w:val="center"/>
            </w:pPr>
            <w:r/>
            <w:r>
              <w:rPr>
                <w:b w:val="0"/>
                <w:sz w:val="16"/>
              </w:rPr>
              <w:t>4年</w:t>
            </w:r>
          </w:p>
        </w:tc>
        <w:tc>
          <w:tcPr>
            <w:tcW w:type="dxa" w:w="1440"/>
            <w:vAlign w:val="center"/>
          </w:tcPr>
          <w:p>
            <w:pPr>
              <w:jc w:val="center"/>
            </w:pPr>
            <w:r/>
            <w:r>
              <w:rPr>
                <w:b w:val="0"/>
                <w:sz w:val="16"/>
              </w:rPr>
              <w:t>跌破MA240 1%才卖</w:t>
            </w:r>
          </w:p>
        </w:tc>
        <w:tc>
          <w:tcPr>
            <w:tcW w:type="dxa" w:w="1440"/>
            <w:vAlign w:val="center"/>
          </w:tcPr>
          <w:p>
            <w:pPr>
              <w:jc w:val="center"/>
            </w:pPr>
            <w:r/>
            <w:r>
              <w:rPr>
                <w:b w:val="0"/>
                <w:sz w:val="16"/>
              </w:rPr>
              <w:t>35</w:t>
            </w:r>
          </w:p>
        </w:tc>
        <w:tc>
          <w:tcPr>
            <w:tcW w:type="dxa" w:w="1440"/>
            <w:vAlign w:val="center"/>
          </w:tcPr>
          <w:p>
            <w:pPr>
              <w:jc w:val="center"/>
            </w:pPr>
            <w:r/>
            <w:r>
              <w:rPr>
                <w:b w:val="0"/>
                <w:sz w:val="16"/>
              </w:rPr>
              <w:t>472.95%</w:t>
            </w:r>
          </w:p>
        </w:tc>
        <w:tc>
          <w:tcPr>
            <w:tcW w:type="dxa" w:w="1440"/>
            <w:vAlign w:val="center"/>
          </w:tcPr>
          <w:p>
            <w:pPr>
              <w:jc w:val="center"/>
            </w:pPr>
            <w:r/>
            <w:r>
              <w:rPr>
                <w:b w:val="0"/>
                <w:sz w:val="16"/>
              </w:rPr>
              <w:t>39.47%</w:t>
            </w:r>
          </w:p>
        </w:tc>
        <w:tc>
          <w:tcPr>
            <w:tcW w:type="dxa" w:w="1440"/>
            <w:vAlign w:val="center"/>
          </w:tcPr>
          <w:p>
            <w:pPr>
              <w:jc w:val="center"/>
            </w:pPr>
            <w:r/>
            <w:r>
              <w:rPr>
                <w:b w:val="0"/>
                <w:sz w:val="16"/>
              </w:rPr>
              <w:t>31.43%</w:t>
            </w:r>
          </w:p>
        </w:tc>
        <w:tc>
          <w:tcPr>
            <w:tcW w:type="dxa" w:w="1440"/>
            <w:vAlign w:val="center"/>
          </w:tcPr>
          <w:p>
            <w:pPr>
              <w:jc w:val="center"/>
            </w:pPr>
            <w:r/>
            <w:r>
              <w:rPr>
                <w:b w:val="0"/>
                <w:sz w:val="16"/>
              </w:rPr>
              <w:t>54.76%</w:t>
            </w:r>
          </w:p>
        </w:tc>
      </w:tr>
      <w:tr>
        <w:tc>
          <w:tcPr>
            <w:tcW w:type="dxa" w:w="1440"/>
            <w:vAlign w:val="center"/>
          </w:tcPr>
          <w:p>
            <w:pPr>
              <w:jc w:val="center"/>
            </w:pPr>
            <w:r/>
            <w:r>
              <w:rPr>
                <w:b w:val="0"/>
                <w:sz w:val="16"/>
              </w:rPr>
              <w:t>all</w:t>
            </w:r>
          </w:p>
        </w:tc>
        <w:tc>
          <w:tcPr>
            <w:tcW w:type="dxa" w:w="1440"/>
            <w:vAlign w:val="center"/>
          </w:tcPr>
          <w:p>
            <w:pPr>
              <w:jc w:val="center"/>
            </w:pPr>
            <w:r/>
            <w:r>
              <w:rPr>
                <w:b w:val="0"/>
                <w:sz w:val="16"/>
              </w:rPr>
              <w:t>原始MA240</w:t>
            </w:r>
          </w:p>
        </w:tc>
        <w:tc>
          <w:tcPr>
            <w:tcW w:type="dxa" w:w="1440"/>
            <w:vAlign w:val="center"/>
          </w:tcPr>
          <w:p>
            <w:pPr>
              <w:jc w:val="center"/>
            </w:pPr>
            <w:r/>
            <w:r>
              <w:rPr>
                <w:b w:val="0"/>
                <w:sz w:val="16"/>
              </w:rPr>
              <w:t>94</w:t>
            </w:r>
          </w:p>
        </w:tc>
        <w:tc>
          <w:tcPr>
            <w:tcW w:type="dxa" w:w="1440"/>
            <w:vAlign w:val="center"/>
          </w:tcPr>
          <w:p>
            <w:pPr>
              <w:jc w:val="center"/>
            </w:pPr>
            <w:r/>
            <w:r>
              <w:rPr>
                <w:b w:val="0"/>
                <w:sz w:val="16"/>
              </w:rPr>
              <w:t>2062.60%</w:t>
            </w:r>
          </w:p>
        </w:tc>
        <w:tc>
          <w:tcPr>
            <w:tcW w:type="dxa" w:w="1440"/>
            <w:vAlign w:val="center"/>
          </w:tcPr>
          <w:p>
            <w:pPr>
              <w:jc w:val="center"/>
            </w:pPr>
            <w:r/>
            <w:r>
              <w:rPr>
                <w:b w:val="0"/>
                <w:sz w:val="16"/>
              </w:rPr>
              <w:t>65.75%</w:t>
            </w:r>
          </w:p>
        </w:tc>
        <w:tc>
          <w:tcPr>
            <w:tcW w:type="dxa" w:w="1440"/>
            <w:vAlign w:val="center"/>
          </w:tcPr>
          <w:p>
            <w:pPr>
              <w:jc w:val="center"/>
            </w:pPr>
            <w:r/>
            <w:r>
              <w:rPr>
                <w:b w:val="0"/>
                <w:sz w:val="16"/>
              </w:rPr>
              <w:t>28.72%</w:t>
            </w:r>
          </w:p>
        </w:tc>
        <w:tc>
          <w:tcPr>
            <w:tcW w:type="dxa" w:w="1440"/>
            <w:vAlign w:val="center"/>
          </w:tcPr>
          <w:p>
            <w:pPr>
              <w:jc w:val="center"/>
            </w:pPr>
            <w:r/>
            <w:r>
              <w:rPr>
                <w:b w:val="0"/>
                <w:sz w:val="16"/>
              </w:rPr>
              <w:t>51.49%</w:t>
            </w:r>
          </w:p>
        </w:tc>
      </w:tr>
      <w:tr>
        <w:tc>
          <w:tcPr>
            <w:tcW w:type="dxa" w:w="1440"/>
            <w:vAlign w:val="center"/>
          </w:tcPr>
          <w:p>
            <w:pPr>
              <w:jc w:val="center"/>
            </w:pPr>
            <w:r/>
            <w:r>
              <w:rPr>
                <w:b w:val="0"/>
                <w:sz w:val="16"/>
              </w:rPr>
              <w:t>all</w:t>
            </w:r>
          </w:p>
        </w:tc>
        <w:tc>
          <w:tcPr>
            <w:tcW w:type="dxa" w:w="1440"/>
            <w:vAlign w:val="center"/>
          </w:tcPr>
          <w:p>
            <w:pPr>
              <w:jc w:val="center"/>
            </w:pPr>
            <w:r/>
            <w:r>
              <w:rPr>
                <w:b w:val="0"/>
                <w:sz w:val="16"/>
              </w:rPr>
              <w:t>跌破MA240 1%才卖</w:t>
            </w:r>
          </w:p>
        </w:tc>
        <w:tc>
          <w:tcPr>
            <w:tcW w:type="dxa" w:w="1440"/>
            <w:vAlign w:val="center"/>
          </w:tcPr>
          <w:p>
            <w:pPr>
              <w:jc w:val="center"/>
            </w:pPr>
            <w:r/>
            <w:r>
              <w:rPr>
                <w:b w:val="0"/>
                <w:sz w:val="16"/>
              </w:rPr>
              <w:t>74</w:t>
            </w:r>
          </w:p>
        </w:tc>
        <w:tc>
          <w:tcPr>
            <w:tcW w:type="dxa" w:w="1440"/>
            <w:vAlign w:val="center"/>
          </w:tcPr>
          <w:p>
            <w:pPr>
              <w:jc w:val="center"/>
            </w:pPr>
            <w:r/>
            <w:r>
              <w:rPr>
                <w:b w:val="0"/>
                <w:sz w:val="16"/>
              </w:rPr>
              <w:t>2848.20%</w:t>
            </w:r>
          </w:p>
        </w:tc>
        <w:tc>
          <w:tcPr>
            <w:tcW w:type="dxa" w:w="1440"/>
            <w:vAlign w:val="center"/>
          </w:tcPr>
          <w:p>
            <w:pPr>
              <w:jc w:val="center"/>
            </w:pPr>
            <w:r/>
            <w:r>
              <w:rPr>
                <w:b w:val="0"/>
                <w:sz w:val="16"/>
              </w:rPr>
              <w:t>62.58%</w:t>
            </w:r>
          </w:p>
        </w:tc>
        <w:tc>
          <w:tcPr>
            <w:tcW w:type="dxa" w:w="1440"/>
            <w:vAlign w:val="center"/>
          </w:tcPr>
          <w:p>
            <w:pPr>
              <w:jc w:val="center"/>
            </w:pPr>
            <w:r/>
            <w:r>
              <w:rPr>
                <w:b w:val="0"/>
                <w:sz w:val="16"/>
              </w:rPr>
              <w:t>27.03%</w:t>
            </w:r>
          </w:p>
        </w:tc>
        <w:tc>
          <w:tcPr>
            <w:tcW w:type="dxa" w:w="1440"/>
            <w:vAlign w:val="center"/>
          </w:tcPr>
          <w:p>
            <w:pPr>
              <w:jc w:val="center"/>
            </w:pPr>
            <w:r/>
            <w:r>
              <w:rPr>
                <w:b w:val="0"/>
                <w:sz w:val="16"/>
              </w:rPr>
              <w:t>57.97%</w:t>
            </w:r>
          </w:p>
        </w:tc>
      </w:tr>
    </w:tbl>
    <w:p/>
    <w:p>
      <w:r>
        <w:t>表3表明，放宽出场并非在所有周期都优于原始策略。在近1年和近2年窗口中，原始策略表现更好；但在3年、4年和全周期窗口中，跌破MA240超过1%才卖出的版本具有更高收益和更少交易次数。这说明出场优化更偏长期鲁棒性，而不是短期收益最大化。</w:t>
      </w:r>
    </w:p>
    <w:p>
      <w:r>
        <w:t>这一实验给出一个重要经验：对于BTC趋势策略，优化进场容易错过趋势；优化出场则更可能减少均线附近的横盘磨损。换言之，策略设计应尽量保持进场条件简洁，同时避免对MA附近的瞬时跌破过度反应。</w:t>
      </w:r>
    </w:p>
    <w:p>
      <w:pPr>
        <w:pStyle w:val="Heading1"/>
      </w:pPr>
      <w:r>
        <w:t>8. 自动化实盘系统设计与工程问题</w:t>
      </w:r>
    </w:p>
    <w:p>
      <w:r>
        <w:t>除回测外，项目还实现了一个基于OKX的自动交易脚本。脚本每4小时获取已完结K线，计算最新MA信号，并在满足条件时通过OKX API执行现货买卖。实盘系统包括配置读取、签名、K线同步、下单、订单查询、状态持久化、Webhook通知、异常重试和守护进程。</w:t>
      </w:r>
    </w:p>
    <w:p>
      <w:pPr>
        <w:pStyle w:val="Heading2"/>
      </w:pPr>
      <w:r>
        <w:t>8.1 关键工程设计</w:t>
      </w:r>
    </w:p>
    <w:p>
      <w:pPr>
        <w:pStyle w:val="ListBullet"/>
      </w:pPr>
      <w:r>
        <w:t>K线确认：仅使用confirm=1的已完结K线，避免未收盘K线造成信号漂移；</w:t>
      </w:r>
    </w:p>
    <w:p>
      <w:pPr>
        <w:pStyle w:val="ListBullet"/>
      </w:pPr>
      <w:r>
        <w:t>状态持久化：使用ma120_state.json保存持仓状态、开仓时间、买入数量和订单ID；</w:t>
      </w:r>
    </w:p>
    <w:p>
      <w:pPr>
        <w:pStyle w:val="ListBullet"/>
      </w:pPr>
      <w:r>
        <w:t>成交数量校正：买入后查询OKX订单实际成交数量，避免用估算数量造成卖出误差；</w:t>
      </w:r>
    </w:p>
    <w:p>
      <w:pPr>
        <w:pStyle w:val="ListBullet"/>
      </w:pPr>
      <w:r>
        <w:t>最小持仓修正：实盘中不能用固定长度窗口的index计算持仓根数，应使用entry_time与最新K线时间差计算；</w:t>
      </w:r>
    </w:p>
    <w:p>
      <w:pPr>
        <w:pStyle w:val="ListBullet"/>
      </w:pPr>
      <w:r>
        <w:t>异常重试：K线获取或下单失败后不等待4小时，而是按较短间隔重试并Webhook提醒；</w:t>
      </w:r>
    </w:p>
    <w:p>
      <w:pPr>
        <w:pStyle w:val="ListBullet"/>
      </w:pPr>
      <w:r>
        <w:t>日志与审计：通过ma120_trader.log、trade_history.csv和Webhook记录交易与异常。</w:t>
      </w:r>
    </w:p>
    <w:p>
      <w:pPr>
        <w:pStyle w:val="Heading2"/>
      </w:pPr>
      <w:r>
        <w:t>8.2 数据采集与Google Sheets优化</w:t>
      </w:r>
    </w:p>
    <w:p>
      <w:r>
        <w:t>为了支持多参数回测，项目使用Google Apps Script从OKX同步历史4H K线到Google Sheets。实现过程中遇到的主要问题包括：分页参数方向误解、单次执行时间限制、重复K线写入、公式拖动错行以及GAS中计算MA效率低。最终采用的方案是：GAS只负责写入原始K线数据，MA列由Google Sheets单元格公式自动计算。这种设计减少了脚本循环计算量，提高了可维护性。</w:t>
      </w:r>
    </w:p>
    <w:p>
      <w:pPr>
        <w:pStyle w:val="Heading1"/>
      </w:pPr>
      <w:r>
        <w:t>9. 讨论</w:t>
      </w:r>
    </w:p>
    <w:p>
      <w:pPr>
        <w:pStyle w:val="Heading2"/>
      </w:pPr>
      <w:r>
        <w:t>9.1 为什么简单单均线优于复杂双均线</w:t>
      </w:r>
    </w:p>
    <w:p>
      <w:r>
        <w:t>BTC历史上最重要的收益来源通常来自少数大趋势。过度确认、过度过滤和过度频繁切换都会带来两个后果：第一，错过趋势初段；第二，在横盘区间仍然无法避免反复亏损。因此，双均线和进场过滤并未解决BTC趋势策略的核心矛盾。相反，简单长周期单均线保留了对主趋势的敏感性，同时通过空仓阶段降低深熊市风险。</w:t>
      </w:r>
    </w:p>
    <w:p>
      <w:pPr>
        <w:pStyle w:val="Heading2"/>
      </w:pPr>
      <w:r>
        <w:t>9.2 策略收益与风险的权衡</w:t>
      </w:r>
    </w:p>
    <w:p>
      <w:r>
        <w:t>在部分样本区间中，持币策略的总收益高于趋势策略，尤其是强牛市阶段。趋势策略的价值不应只以是否跑赢持币衡量，更应看最大回撤、交易纪律和实盘可承受性。对于无法承受80%以上账面回撤的投资者，趋势策略提供了一种降低风险暴露的机制。对于能长期承受巨大回撤且坚定持有的投资者，持币策略仍可能是更高收益选择。</w:t>
      </w:r>
    </w:p>
    <w:p>
      <w:pPr>
        <w:pStyle w:val="Heading2"/>
      </w:pPr>
      <w:r>
        <w:t>9.3 本研究的限制</w:t>
      </w:r>
    </w:p>
    <w:p>
      <w:pPr>
        <w:pStyle w:val="ListBullet"/>
      </w:pPr>
      <w:r>
        <w:t>回测采用历史数据，未来市场结构可能变化；</w:t>
      </w:r>
    </w:p>
    <w:p>
      <w:pPr>
        <w:pStyle w:val="ListBullet"/>
      </w:pPr>
      <w:r>
        <w:t>未系统计入滑点、盘口冲击、极端行情断流和交易所风控；</w:t>
      </w:r>
    </w:p>
    <w:p>
      <w:pPr>
        <w:pStyle w:val="ListBullet"/>
      </w:pPr>
      <w:r>
        <w:t>部分参数通过项目探索得到，存在样本内优化风险；</w:t>
      </w:r>
    </w:p>
    <w:p>
      <w:pPr>
        <w:pStyle w:val="ListBullet"/>
      </w:pPr>
      <w:r>
        <w:t>BTC结论不能直接外推到ETH或山寨币；</w:t>
      </w:r>
    </w:p>
    <w:p>
      <w:pPr>
        <w:pStyle w:val="ListBullet"/>
      </w:pPr>
      <w:r>
        <w:t>自动化实盘仍需持续监控API、余额、状态文件和异常日志。</w:t>
      </w:r>
    </w:p>
    <w:p>
      <w:pPr>
        <w:pStyle w:val="Heading1"/>
      </w:pPr>
      <w:r>
        <w:t>10. 结论</w:t>
      </w:r>
    </w:p>
    <w:p>
      <w:r>
        <w:t>本文基于BTC 4H历史数据，对单均线趋势策略、双均线策略与出场优化进行了系统比较。项目结果显示，BTC 4H MA240配合最小持仓24根K线是一种简洁、可解释且长期表现较好的趋势策略。相比双均线策略，单均线策略交易逻辑更少、参数更少、实盘执行更稳定。复杂化策略并未带来稳定提升，反而经常因为滞后与过度交易降低收益。</w:t>
      </w:r>
    </w:p>
    <w:p>
      <w:r>
        <w:t>横盘磨损是趋势策略无法完全消除的结构性问题。实验显示，过强的进场过滤会错过BTC趋势启动；更有价值的方向是优化出场，例如要求价格跌破MA一定比例后再卖出，以减少假跌破造成的交易损耗。总体而言，对BTC这类强趋势资产，策略设计应优先追求简洁、鲁棒、可执行，而非不断叠加技术指标。</w:t>
      </w:r>
    </w:p>
    <w:p>
      <w:pPr>
        <w:pStyle w:val="Heading1"/>
      </w:pPr>
      <w:r>
        <w:t>附录A：关键策略伪代码</w:t>
      </w:r>
    </w:p>
    <w:p>
      <w:r>
        <w:t>A.1 原始MA240策略</w:t>
      </w:r>
    </w:p>
    <w:p>
      <w:r>
        <w:rPr>
          <w:rFonts w:ascii="Consolas" w:hAnsi="Consolas" w:eastAsia="Consolas"/>
          <w:sz w:val="18"/>
        </w:rPr>
        <w:t>if not position and prev_close &lt;= prev_MA240 and close &gt; MA240:</w:t>
        <w:br/>
        <w:t xml:space="preserve">    buy()</w:t>
        <w:br/>
        <w:br/>
        <w:t>if position and hold_bars &gt;= 24 and close &lt; MA240:</w:t>
        <w:br/>
        <w:t xml:space="preserve">    sell()</w:t>
      </w:r>
    </w:p>
    <w:p>
      <w:r>
        <w:t>A.2 放宽出场版本</w:t>
      </w:r>
    </w:p>
    <w:p>
      <w:r>
        <w:rPr>
          <w:rFonts w:ascii="Consolas" w:hAnsi="Consolas" w:eastAsia="Consolas"/>
          <w:sz w:val="18"/>
        </w:rPr>
        <w:t>if not position and prev_close &lt;= prev_MA240 and close &gt; MA240:</w:t>
        <w:br/>
        <w:t xml:space="preserve">    buy()</w:t>
        <w:br/>
        <w:br/>
        <w:t>if position and hold_bars &gt;= 24 and close &lt; MA240 * 0.99:</w:t>
        <w:br/>
        <w:t xml:space="preserve">    sell()</w:t>
      </w:r>
    </w:p>
    <w:p>
      <w:pPr>
        <w:pStyle w:val="Heading1"/>
      </w:pPr>
      <w:r>
        <w:t>参考文献</w:t>
      </w:r>
    </w:p>
    <w:p>
      <w:r>
        <w:t>[1] Grobys, K., Ahmed, S., &amp; Sapkota, N. (2020). Technical trading rules in the cryptocurrency market. Finance Research Letters, 32. DOI: 10.1016/j.frl.2019.101396.</w:t>
      </w:r>
    </w:p>
    <w:p>
      <w:r>
        <w:t>[2] Jin, J. H. et al. (2024). Do technical trading rules outperform the simple buy-and-hold strategy in cryptocurrency markets? Journal of Derivatives and Quantitative Studies, 32(1), 23–45.</w:t>
      </w:r>
    </w:p>
    <w:p>
      <w:r>
        <w:t>[3] Investopedia. ADX: The Trend Strength Indicator. 用于解释ADX作为趋势强度指标的基本用途。</w:t>
      </w:r>
    </w:p>
    <w:p>
      <w:r>
        <w:t>[4] OKX. API v5 Documentation: Market Data — Get Candlesticks History. 用于说明K线数据字段、confirm字段和分页参数。</w:t>
      </w:r>
    </w:p>
    <w:p>
      <w:r>
        <w:t>[5] Monash University. Trend-following Strategies for Crypto Investors. 用于趋势跟踪策略在加密资产投资中的背景参考。</w:t>
      </w:r>
    </w:p>
    <w:p>
      <w:pPr>
        <w:pStyle w:val="Heading1"/>
      </w:pPr>
      <w:r>
        <w:t>声明</w:t>
      </w:r>
    </w:p>
    <w:p>
      <w:r>
        <w:t>本文为项目研究总结，不构成投资建议。所有回测结果基于历史数据和特定假设，不能保证未来收益。实际交易需考虑滑点、深度、交易所接口风险、资金安全和个人风险承受能力。</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Noto Sans CJK SC" w:hAnsi="Noto Sans CJK SC" w:eastAsia="Noto Sans CJK S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Noto Sans CJK SC" w:hAnsi="Noto Sans CJK SC" w:eastAsia="Noto Sans CJK SC"/>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Noto Sans CJK SC" w:hAnsi="Noto Sans CJK SC" w:eastAsia="Noto Sans CJK SC"/>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Noto Sans CJK SC" w:hAnsi="Noto Sans CJK SC" w:eastAsia="Noto Sans CJK SC"/>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